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after="50" w:before="1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Program Lead IPv6 Migration</w:t>
            </w:r>
          </w:p>
          <w:p>
            <w:r>
              <w:rPr>
                <w:color w:val="1B6E5A"/>
                <w:sz w:val="18"/>
                <w:szCs w:val="18"/>
              </w:rPr>
              <w:t xml:space="preserve">Deutsche Rentenversicherung (RP, BW)</w:t>
            </w:r>
            <w:r>
              <w:rPr>
                <w:color w:val="3A2366"/>
                <w:sz w:val="18"/>
                <w:szCs w:val="18"/>
              </w:rPr>
              <w:t xml:space="preserve"> — Jan 2026 - Today</w:t>
            </w:r>
          </w:p>
          <w:p>
            <w:pPr>
              <w:spacing w:after="100"/>
            </w:pPr>
            <w:r>
              <w:rPr>
                <w:color w:val="3A2366"/>
                <w:sz w:val="18"/>
                <w:szCs w:val="18"/>
              </w:rPr>
              <w:t xml:space="preserve">Karlsruhe &amp; Speyer, Germany</w:t>
            </w:r>
          </w:p>
          <w:p>
            <w:pPr>
              <w:pStyle w:val="ListParagraph"/>
              <w:numPr>
                <w:ilvl w:val="0"/>
                <w:numId w:val="1"/>
              </w:numPr>
            </w:pPr>
            <w:r>
              <w:rPr>
                <w:b w:val="false"/>
                <w:bCs w:val="false"/>
                <w:color w:val="07090B"/>
                <w:sz w:val="18"/>
                <w:szCs w:val="18"/>
              </w:rPr>
              <w:t xml:space="preserve">Leading the IPv6 migration for DRV RP, and DRV BW, including governance, planning cadence, and execution tracking.</w:t>
            </w:r>
          </w:p>
          <w:p>
            <w:pPr>
              <w:pStyle w:val="ListParagraph"/>
              <w:numPr>
                <w:ilvl w:val="0"/>
                <w:numId w:val="1"/>
              </w:numPr>
            </w:pPr>
            <w:r>
              <w:rPr>
                <w:b w:val="false"/>
                <w:bCs w:val="false"/>
                <w:color w:val="07090B"/>
                <w:sz w:val="18"/>
                <w:szCs w:val="18"/>
              </w:rPr>
              <w:t xml:space="preserve">Built and operationalized a project control model with dashboard, action board, KPI portfolio, risk register, and decision index.</w:t>
            </w:r>
          </w:p>
          <w:p>
            <w:pPr>
              <w:pStyle w:val="ListParagraph"/>
              <w:numPr>
                <w:ilvl w:val="0"/>
                <w:numId w:val="1"/>
              </w:numPr>
            </w:pPr>
            <w:r>
              <w:rPr>
                <w:b w:val="false"/>
                <w:bCs w:val="false"/>
                <w:color w:val="07090B"/>
                <w:sz w:val="18"/>
                <w:szCs w:val="18"/>
              </w:rPr>
              <w:t xml:space="preserve">Coordinating architecture, security, and rollout preparation across addressing, segmentation, dual-stack transition, test-lab planning, and cross-team dependencies.</w:t>
            </w:r>
          </w:p>
          <w:p>
            <w:pPr>
              <w:pStyle w:val="ListParagraph"/>
              <w:numPr>
                <w:ilvl w:val="0"/>
                <w:numId w:val="1"/>
              </w:numPr>
            </w:pPr>
            <w:r>
              <w:rPr>
                <w:b w:val="false"/>
                <w:bCs w:val="false"/>
                <w:color w:val="07090B"/>
                <w:sz w:val="18"/>
                <w:szCs w:val="18"/>
              </w:rPr>
              <w:t xml:space="preserve">Driving compliance-relevant alignment for BSI, NIS2, and critical infrastructure requirements, evidence obligations, and transparent reporting to management and stakeholder groups within the institution.</w:t>
            </w:r>
          </w:p>
          <w:p>
            <w:pPr>
              <w:pStyle w:val="ListParagraph"/>
              <w:numPr>
                <w:ilvl w:val="0"/>
                <w:numId w:val="1"/>
              </w:numPr>
            </w:pPr>
            <w:r>
              <w:rPr>
                <w:b/>
                <w:bCs/>
                <w:color w:val="1B6E5A"/>
                <w:sz w:val="18"/>
                <w:szCs w:val="18"/>
              </w:rPr>
              <w:t xml:space="preserve">Achievement: Established a reusable intake-to-governance workflow to create traceable actions, risks, questions, and evidence requests.</w:t>
            </w:r>
          </w:p>
          <w:p>
            <w:pPr>
              <w:pStyle w:val="ListParagraph"/>
              <w:numPr>
                <w:ilvl w:val="0"/>
                <w:numId w:val="1"/>
              </w:numPr>
            </w:pPr>
            <w:r>
              <w:rPr>
                <w:b/>
                <w:bCs/>
                <w:color w:val="1B6E5A"/>
                <w:sz w:val="18"/>
                <w:szCs w:val="18"/>
              </w:rPr>
              <w:t xml:space="preserve">Achievement: Created the operational baseline for program execution with measurable KPIs, ownership clarity, and decision transparency.</w:t>
            </w:r>
          </w:p>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of vulnerability and incident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 and security oversight for application and network migrations.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and planning of resources of a small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Analysis, troubleshooting and sustainable remediation in email infrastructures.</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Sub-project lead: data centre relocation including migration and rebuild of applications and server infrastructures into redundant, highly available environments.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r>
              <w:rPr>
                <w:b/>
                <w:bCs/>
                <w:sz w:val="20"/>
                <w:szCs w:val="20"/>
              </w:rPr>
              <w:t xml:space="preserve">Product Owner / System Architect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Product Owner and system architect for the enterprise-wide email archiving platform, including requirements management, technical roadmap, and long-term evolution.</w:t>
            </w:r>
          </w:p>
          <w:p>
            <w:pPr>
              <w:pStyle w:val="ListParagraph"/>
              <w:numPr>
                <w:ilvl w:val="0"/>
                <w:numId w:val="1"/>
              </w:numPr>
            </w:pPr>
            <w:r>
              <w:rPr>
                <w:b w:val="false"/>
                <w:bCs w:val="false"/>
                <w:color w:val="07090B"/>
                <w:sz w:val="18"/>
                <w:szCs w:val="18"/>
              </w:rPr>
              <w:t xml:space="preserve">Led the design and implementation of a legally compliant archive for more than 50,000 users, ensuring immutable retention, auditability, and long-term maintainability.</w:t>
            </w:r>
          </w:p>
          <w:p>
            <w:pPr>
              <w:pStyle w:val="ListParagraph"/>
              <w:numPr>
                <w:ilvl w:val="0"/>
                <w:numId w:val="1"/>
              </w:numPr>
            </w:pPr>
            <w:r>
              <w:rPr>
                <w:b w:val="false"/>
                <w:bCs w:val="false"/>
                <w:color w:val="07090B"/>
                <w:sz w:val="18"/>
                <w:szCs w:val="18"/>
              </w:rPr>
              <w:t xml:space="preserve">Introduced scalable storage, redundancy concepts, monitoring, indexing and full-text search to enable efficient retrieval of historical correspondence.</w:t>
            </w:r>
          </w:p>
          <w:p>
            <w:pPr>
              <w:pStyle w:val="ListParagraph"/>
              <w:numPr>
                <w:ilvl w:val="0"/>
                <w:numId w:val="1"/>
              </w:numPr>
            </w:pPr>
            <w:r>
              <w:rPr>
                <w:b w:val="false"/>
                <w:bCs w:val="false"/>
                <w:color w:val="07090B"/>
                <w:sz w:val="18"/>
                <w:szCs w:val="18"/>
              </w:rPr>
              <w:t xml:space="preserve">Close collaboration with legal, compliance, and auditing teams to meet regulatory requirements and ensure long-term evidentiary integrity.</w:t>
            </w:r>
          </w:p>
          <w:p>
            <w:pPr>
              <w:pStyle w:val="ListParagraph"/>
              <w:numPr>
                <w:ilvl w:val="0"/>
                <w:numId w:val="1"/>
              </w:numPr>
            </w:pPr>
            <w:r>
              <w:rPr>
                <w:b w:val="false"/>
                <w:bCs w:val="false"/>
                <w:color w:val="07090B"/>
                <w:sz w:val="18"/>
                <w:szCs w:val="18"/>
              </w:rPr>
              <w:t xml:space="preserve">Secondary responsibilities in the surrounding mail infrastructure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entire organization.</w:t>
            </w:r>
          </w:p>
          <w:p>
            <w:pPr>
              <w:pStyle w:val="ListParagraph"/>
              <w:numPr>
                <w:ilvl w:val="0"/>
                <w:numId w:val="1"/>
              </w:numPr>
            </w:pPr>
            <w:r>
              <w:rPr>
                <w:b/>
                <w:bCs/>
                <w:color w:val="1B6E5A"/>
                <w:sz w:val="18"/>
                <w:szCs w:val="18"/>
              </w:rPr>
              <w:t xml:space="preserve">Achievement: Established future-proof data retention strategies aligned with strict regulatory expectations.</w:t>
            </w:r>
          </w:p>
          <w:p/>
          <w:p>
            <w:pPr>
              <w:spacing w:after="50" w:before="1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
            <w:r>
              <w:rPr>
                <w:b/>
                <w:bCs/>
                <w:sz w:val="20"/>
                <w:szCs w:val="20"/>
              </w:rPr>
              <w:t xml:space="preserve">SchlauFabrik – Multi-tenant Compliance &amp; AI Training Platform</w:t>
            </w:r>
          </w:p>
          <w:p>
            <w:r>
              <w:rPr>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and built a modern, responsive training platform for compliance and AI topics with tenant isolation and role-based access.</w:t>
            </w:r>
          </w:p>
          <w:p>
            <w:pPr>
              <w:pStyle w:val="ListParagraph"/>
              <w:numPr>
                <w:ilvl w:val="0"/>
                <w:numId w:val="1"/>
              </w:numPr>
            </w:pPr>
            <w:r>
              <w:rPr>
                <w:b w:val="false"/>
                <w:bCs w:val="false"/>
                <w:color w:val="07090B"/>
                <w:sz w:val="18"/>
                <w:szCs w:val="18"/>
              </w:rPr>
              <w:t xml:space="preserve">Implemented security-by-design with Postgres Row-Level Security, audit logging, rate limiting, and hardened authentication flows (Passkey/Magic Link/2FA/SSO).</w:t>
            </w:r>
          </w:p>
          <w:p>
            <w:pPr>
              <w:pStyle w:val="ListParagraph"/>
              <w:numPr>
                <w:ilvl w:val="0"/>
                <w:numId w:val="1"/>
              </w:numPr>
            </w:pPr>
            <w:r>
              <w:rPr>
                <w:b w:val="false"/>
                <w:bCs w:val="false"/>
                <w:color w:val="07090B"/>
                <w:sz w:val="18"/>
                <w:szCs w:val="18"/>
              </w:rPr>
              <w:t xml:space="preserve">Built course delivery with progress tracking, quizzes, enrollments, and admin dashboards for tenant/user management.</w:t>
            </w:r>
          </w:p>
          <w:p>
            <w:pPr>
              <w:pStyle w:val="ListParagraph"/>
              <w:numPr>
                <w:ilvl w:val="0"/>
                <w:numId w:val="1"/>
              </w:numPr>
            </w:pPr>
            <w:r>
              <w:rPr>
                <w:b w:val="false"/>
                <w:bCs w:val="false"/>
                <w:color w:val="07090B"/>
                <w:sz w:val="18"/>
                <w:szCs w:val="18"/>
              </w:rPr>
              <w:t xml:space="preserve">Delivered tamper-evident PDF certificates with QR verification and cryptographic hashing; enabled bulk export for audits.</w:t>
            </w:r>
          </w:p>
          <w:p>
            <w:pPr>
              <w:pStyle w:val="ListParagraph"/>
              <w:numPr>
                <w:ilvl w:val="0"/>
                <w:numId w:val="1"/>
              </w:numPr>
            </w:pPr>
            <w:r>
              <w:rPr>
                <w:b w:val="false"/>
                <w:bCs w:val="false"/>
                <w:color w:val="07090B"/>
                <w:sz w:val="18"/>
                <w:szCs w:val="18"/>
              </w:rPr>
              <w:t xml:space="preserve">Integrated Stripe billing (subscriptions, portal, webhooks) with license models and soft-lock mechanisms for tenant 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2026-02-17T08:27:47.263Z</dcterms:created>
  <dcterms:modified xsi:type="dcterms:W3CDTF">2026-02-17T08:27:47.263Z</dcterms:modified>
</cp:coreProperties>
</file>

<file path=docProps/custom.xml><?xml version="1.0" encoding="utf-8"?>
<Properties xmlns="http://schemas.openxmlformats.org/officeDocument/2006/custom-properties" xmlns:vt="http://schemas.openxmlformats.org/officeDocument/2006/docPropsVTypes"/>
</file>