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Technische Programmverantwortung für die IPv6-Migration bei DRV RP und DRV BW mit Fokus auf Migrationsplanung, Umsetzungsstruktur und übergreifende technische Steuerung.</w:t>
            </w:r>
          </w:p>
          <w:p>
            <w:pPr>
              <w:pStyle w:val="ListParagraph"/>
              <w:numPr>
                <w:ilvl w:val="0"/>
                <w:numId w:val="1"/>
              </w:numPr>
            </w:pPr>
            <w:r>
              <w:rPr>
                <w:b w:val="false"/>
                <w:bCs w:val="false"/>
                <w:color w:val="07090B"/>
                <w:sz w:val="18"/>
                <w:szCs w:val="18"/>
              </w:rPr>
              <w:t xml:space="preserve">Konzeption und Einführung eines operativen Steuerungsmodells mit Dashboard, Action Board, KPI-Portfolio, Risikoregister und Entscheidungsindex zur strukturierten Übersetzung technischer Themen in belastbare Delivery-Artefakte.</w:t>
            </w:r>
          </w:p>
          <w:p>
            <w:pPr>
              <w:pStyle w:val="ListParagraph"/>
              <w:numPr>
                <w:ilvl w:val="0"/>
                <w:numId w:val="1"/>
              </w:numPr>
            </w:pPr>
            <w:r>
              <w:rPr>
                <w:b w:val="false"/>
                <w:bCs w:val="false"/>
                <w:color w:val="07090B"/>
                <w:sz w:val="18"/>
                <w:szCs w:val="18"/>
              </w:rPr>
              <w:t xml:space="preserve">Koordination der technischen Vorarbeiten für Architektur und Rollout über IPv6-Adressierung, Segmentierung, Dual-Stack-Zielbild, Testlabor-Planung und teamübergreifende Abhängigkeiten hinweg.</w:t>
            </w:r>
          </w:p>
          <w:p>
            <w:pPr>
              <w:pStyle w:val="ListParagraph"/>
              <w:numPr>
                <w:ilvl w:val="0"/>
                <w:numId w:val="1"/>
              </w:numPr>
            </w:pPr>
            <w:r>
              <w:rPr>
                <w:b w:val="false"/>
                <w:bCs w:val="false"/>
                <w:color w:val="07090B"/>
                <w:sz w:val="18"/>
                <w:szCs w:val="18"/>
              </w:rPr>
              <w:t xml:space="preserve">Begleitung sicherheits- und compliance-relevanter Anforderungen mit Bezug auf BSI, NIS2 und KRITIS sowie deren Überführung in nachvollziehbare Nachweise, Risiken und Management-Reporting.</w:t>
            </w:r>
          </w:p>
          <w:p>
            <w:pPr>
              <w:pStyle w:val="ListParagraph"/>
              <w:numPr>
                <w:ilvl w:val="0"/>
                <w:numId w:val="1"/>
              </w:numPr>
            </w:pPr>
            <w:r>
              <w:rPr>
                <w:b/>
                <w:bCs/>
                <w:color w:val="1B6E5A"/>
                <w:sz w:val="18"/>
                <w:szCs w:val="18"/>
              </w:rPr>
              <w:t xml:space="preserve">Erfolg: Etablierung eines wiederverwendbaren Intake-to-Governance-Workflows zur systematischen Erfassung technischer Actions, Risiken, offener Punkte und Nachweisanforderungen.</w:t>
            </w:r>
          </w:p>
          <w:p>
            <w:pPr>
              <w:pStyle w:val="ListParagraph"/>
              <w:numPr>
                <w:ilvl w:val="0"/>
                <w:numId w:val="1"/>
              </w:numPr>
            </w:pPr>
            <w:r>
              <w:rPr>
                <w:b/>
                <w:bCs/>
                <w:color w:val="1B6E5A"/>
                <w:sz w:val="18"/>
                <w:szCs w:val="18"/>
              </w:rPr>
              <w:t xml:space="preserve">Erfolg: Schaffung einer operativen Baseline für die technische Programmausführung mit messbaren KPIs, klaren Verantwortlichkeiten und transparenter Entscheidungsgrundlage.</w:t>
            </w:r>
          </w:p>
          <w:p/>
          <w:p>
            <w:r>
              <w:rPr>
                <w:b/>
                <w:bCs/>
                <w:sz w:val="20"/>
                <w:szCs w:val="20"/>
              </w:rPr>
              <w:t xml:space="preserve">Technische Teilprojektleitung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Etablierung einer modernisierten Backup-Baseline mit Verbesserungen bei Datensicherheit, Compliance und Wiederherstellbarkeit über mehrere Fachbereiche hinweg.</w:t>
            </w:r>
          </w:p>
          <w:p>
            <w:pPr>
              <w:pStyle w:val="ListParagraph"/>
              <w:numPr>
                <w:ilvl w:val="0"/>
                <w:numId w:val="1"/>
              </w:numPr>
            </w:pPr>
            <w:r>
              <w:rPr>
                <w:b/>
                <w:bCs/>
                <w:color w:val="1B6E5A"/>
                <w:sz w:val="18"/>
                <w:szCs w:val="18"/>
              </w:rPr>
              <w:t xml:space="preserve">Erfolg: Beitrag zur technischen Vorbereitung und koordinierten Umsetzung der Verlagerung von zwei Rechenzentren mit minimierten Ausfallzeiten und abgestimmten Infrastrukturabhängigkeiten.</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Implementierung von IT-Sicherheitsmaßnahmen, die ein SOC-2-Audit ohne Beanstandungen unterstützten und damit zentrale Kundenanforderungen absicherten.</w:t>
            </w:r>
          </w:p>
          <w:p>
            <w:pPr>
              <w:pStyle w:val="ListParagraph"/>
              <w:numPr>
                <w:ilvl w:val="0"/>
                <w:numId w:val="1"/>
              </w:numPr>
            </w:pPr>
            <w:r>
              <w:rPr>
                <w:b/>
                <w:bCs/>
                <w:color w:val="1B6E5A"/>
                <w:sz w:val="18"/>
                <w:szCs w:val="18"/>
              </w:rPr>
              <w:t xml:space="preserve">Erfolg: Integration der SSO-Infrastruktur über mehrere Plattformen hinweg mit Verbesserungen bei Sicherheit, Zugriffskonsistenz und Nutzererlebnis.</w:t>
            </w:r>
          </w:p>
          <w:p>
            <w:pPr>
              <w:pStyle w:val="ListParagraph"/>
              <w:numPr>
                <w:ilvl w:val="0"/>
                <w:numId w:val="1"/>
              </w:numPr>
            </w:pPr>
            <w:r>
              <w:rPr>
                <w:b/>
                <w:bCs/>
                <w:color w:val="1B6E5A"/>
                <w:sz w:val="18"/>
                <w:szCs w:val="18"/>
              </w:rPr>
              <w:t xml:space="preserve">Erfolg: Beitrag zur erfolgreichen ISO-27001-Zertifizierung innerhalb eines engen Zeitrahmens durch die strukturierte Umsetzung von Anforderungen, Kontrollen und Nachweisen.</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Grundschutz, NIST und MITRE.</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Pr>
              <w:pStyle w:val="ListParagraph"/>
              <w:numPr>
                <w:ilvl w:val="0"/>
                <w:numId w:val="1"/>
              </w:numPr>
            </w:pPr>
            <w:r>
              <w:rPr>
                <w:b/>
                <w:bCs/>
                <w:color w:val="1B6E5A"/>
                <w:sz w:val="18"/>
                <w:szCs w:val="18"/>
              </w:rPr>
              <w:t xml:space="preserve">Erfolg: Entwicklung und Automatisierung eines Schwachstellenmanagement-Ansatzes mit schnelleren Reaktionszeiten und verbesserter Transparenz im Incident Handling.</w:t>
            </w:r>
          </w:p>
          <w:p>
            <w:pPr>
              <w:pStyle w:val="ListParagraph"/>
              <w:numPr>
                <w:ilvl w:val="0"/>
                <w:numId w:val="1"/>
              </w:numPr>
            </w:pPr>
            <w:r>
              <w:rPr>
                <w:b/>
                <w:bCs/>
                <w:color w:val="1B6E5A"/>
                <w:sz w:val="18"/>
                <w:szCs w:val="18"/>
              </w:rPr>
              <w:t xml:space="preserve">Erfolg: Einführung von Sicherheitsrichtlinien und technischen Sicherheitsvorgaben, die als wiederverwendbare Best Practices im Unternehmen übernommen wurden.</w:t>
            </w:r>
          </w:p>
          <w:p/>
          <w:p>
            <w:r>
              <w:rPr>
                <w:b/>
                <w:bCs/>
                <w:sz w:val="20"/>
                <w:szCs w:val="20"/>
              </w:rPr>
              <w:t xml:space="preserve">Senior Engineer Infrastruktur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Beitrag zur koordinierten Umsetzung eines erfolgreichen Rechenzentrumsumzugs mit abgestimmten Infrastrukturabhängigkeiten und stabiler Betriebsüberführung.</w:t>
            </w:r>
          </w:p>
          <w:p>
            <w:pPr>
              <w:pStyle w:val="ListParagraph"/>
              <w:numPr>
                <w:ilvl w:val="0"/>
                <w:numId w:val="1"/>
              </w:numPr>
            </w:pPr>
            <w:r>
              <w:rPr>
                <w:b/>
                <w:bCs/>
                <w:color w:val="1B6E5A"/>
                <w:sz w:val="18"/>
                <w:szCs w:val="18"/>
              </w:rPr>
              <w:t xml:space="preserve">Erfolg: Einführung von IPv6 im Unternehmensumfeld als Beitrag zur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E-Mail-Archivierung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Lead Software Engineer – SchlauFabrik 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Tenant-Isolation.</w:t>
            </w:r>
          </w:p>
          <w:p>
            <w:pPr>
              <w:pStyle w:val="ListParagraph"/>
              <w:numPr>
                <w:ilvl w:val="0"/>
                <w:numId w:val="1"/>
              </w:numPr>
            </w:pPr>
            <w:r>
              <w:rPr>
                <w:b w:val="false"/>
                <w:bCs w:val="false"/>
                <w:color w:val="07090B"/>
                <w:sz w:val="18"/>
                <w:szCs w:val="18"/>
              </w:rPr>
              <w:t xml:space="preserve">Umsetzung zentraler Plattformfunktionen wie Kursauslieferung, Fortschritts-Tracking, Quiz, Zuweisungen sowie Admin-Dashboards für Tenant- und User-Management.</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tenantbasierter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Aufbau einer produktionsnahen SaaS-Plattform mit Fokus auf Sicherheit, Mandantenfähigkeit, Abrechenbarkeit und Auditierbarkeit.</w:t>
            </w:r>
          </w:p>
          <w:p>
            <w:pPr>
              <w:pStyle w:val="ListParagraph"/>
              <w:numPr>
                <w:ilvl w:val="0"/>
                <w:numId w:val="1"/>
              </w:numPr>
            </w:pPr>
            <w:r>
              <w:rPr>
                <w:b/>
                <w:bCs/>
                <w:color w:val="1B6E5A"/>
                <w:sz w:val="18"/>
                <w:szCs w:val="18"/>
              </w:rPr>
              <w:t xml:space="preserve">Erfolg: Verknüpfung von Produktlogik, Compliance-Anforderungen und technischer Implementierung in einer konsistenten Plattformarchitektur.</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März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2026-03-09T13:51:56.212Z</dcterms:created>
  <dcterms:modified xsi:type="dcterms:W3CDTF">2026-03-09T13:51:56.212Z</dcterms:modified>
</cp:coreProperties>
</file>

<file path=docProps/custom.xml><?xml version="1.0" encoding="utf-8"?>
<Properties xmlns="http://schemas.openxmlformats.org/officeDocument/2006/custom-properties" xmlns:vt="http://schemas.openxmlformats.org/officeDocument/2006/docPropsVTypes"/>
</file>