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00"/>
        <w:gridCol w:w="8400"/>
      </w:tblGrid>
      <w:tr>
        <w:tc>
          <w:tcPr>
            <w:tcW w:type="dxa" w:w="1600"/>
            <w:tcBorders>
              <w:top w:val="none"/>
              <w:left w:val="none"/>
              <w:bottom w:val="none"/>
              <w:right w:val="none"/>
            </w:tcBorders>
            <w:shd w:fill="1B6E5A" w:val="clear"/>
          </w:tcPr>
          <w:p>
            <w:pPr>
              <w:jc w:val="center"/>
            </w:pPr>
            <w:r>
              <w:drawing>
                <wp:inline distT="0" distB="0" distL="0" distR="0">
                  <wp:extent cx="762000" cy="762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62000" cy="762000"/>
                          </a:xfrm>
                          <a:prstGeom prst="rect">
                            <a:avLst/>
                          </a:prstGeom>
                        </pic:spPr>
                      </pic:pic>
                    </a:graphicData>
                  </a:graphic>
                </wp:inline>
              </w:drawing>
            </w:r>
          </w:p>
          <w:p>
            <w:pPr>
              <w:spacing w:after="200"/>
            </w:pPr>
            <w:r>
              <w:rPr>
                <w:rFonts w:ascii="Space Grotesk" w:cs="Space Grotesk" w:eastAsia="Space Grotesk" w:hAnsi="Space Grotesk"/>
                <w:b/>
                <w:bCs/>
                <w:color w:val="FFFFFF"/>
                <w:sz w:val="18"/>
                <w:szCs w:val="18"/>
              </w:rPr>
              <w:t xml:space="preserve">Kontakt</w:t>
            </w:r>
          </w:p>
          <w:p>
            <w:pPr>
              <w:spacing w:after="100"/>
            </w:pPr>
            <w:r>
              <w:rPr>
                <w:b/>
                <w:bCs/>
                <w:color w:val="FFFFFF"/>
                <w:sz w:val="18"/>
                <w:szCs w:val="18"/>
              </w:rPr>
              <w:t xml:space="preserve">Email: </w:t>
            </w:r>
            <w:r>
              <w:rPr>
                <w:color w:val="FFFFFF"/>
                <w:sz w:val="18"/>
                <w:szCs w:val="18"/>
              </w:rPr>
              <w:t xml:space="preserve">uwe.schwarz@degit.de</w:t>
            </w:r>
          </w:p>
          <w:p>
            <w:pPr>
              <w:spacing w:after="100"/>
            </w:pPr>
            <w:r>
              <w:rPr>
                <w:b/>
                <w:bCs/>
                <w:color w:val="FFFFFF"/>
                <w:sz w:val="18"/>
                <w:szCs w:val="18"/>
              </w:rPr>
              <w:t xml:space="preserve">Phone: </w:t>
            </w:r>
            <w:r>
              <w:rPr>
                <w:color w:val="FFFFFF"/>
                <w:sz w:val="18"/>
                <w:szCs w:val="18"/>
              </w:rPr>
              <w:t xml:space="preserve">+49 151 64403667</w:t>
            </w:r>
          </w:p>
          <w:p>
            <w:pPr>
              <w:spacing w:after="100"/>
            </w:pPr>
            <w:r>
              <w:rPr>
                <w:b/>
                <w:bCs/>
                <w:color w:val="FFFFFF"/>
                <w:sz w:val="18"/>
                <w:szCs w:val="18"/>
              </w:rPr>
              <w:t xml:space="preserve">Homepage: </w:t>
            </w:r>
            <w:r>
              <w:rPr>
                <w:color w:val="FFFFFF"/>
                <w:sz w:val="18"/>
                <w:szCs w:val="18"/>
              </w:rPr>
              <w:t xml:space="preserve">https://uweschwarz.eu</w:t>
            </w:r>
          </w:p>
          <w:p>
            <w:pPr>
              <w:spacing w:after="100"/>
            </w:pPr>
            <w:r>
              <w:rPr>
                <w:b/>
                <w:bCs/>
                <w:color w:val="FFFFFF"/>
                <w:sz w:val="18"/>
                <w:szCs w:val="18"/>
              </w:rPr>
              <w:t xml:space="preserve">LinkedIn: </w:t>
            </w:r>
            <w:r>
              <w:rPr>
                <w:color w:val="FFFFFF"/>
                <w:sz w:val="18"/>
                <w:szCs w:val="18"/>
              </w:rPr>
              <w:t xml:space="preserve">https://www.linkedin.com/in/uwe-schwarz-282531294</w:t>
            </w:r>
          </w:p>
          <w:p>
            <w:pPr>
              <w:spacing w:after="100"/>
            </w:pPr>
            <w:r>
              <w:rPr>
                <w:b/>
                <w:bCs/>
                <w:color w:val="FFFFFF"/>
                <w:sz w:val="18"/>
                <w:szCs w:val="18"/>
              </w:rPr>
              <w:t xml:space="preserve">Xing: </w:t>
            </w:r>
            <w:r>
              <w:rPr>
                <w:color w:val="FFFFFF"/>
                <w:sz w:val="18"/>
                <w:szCs w:val="18"/>
              </w:rPr>
              <w:t xml:space="preserve">https://www.xing.com/profile/Uwe_Schwarz72</w:t>
            </w:r>
          </w:p>
          <w:p>
            <w:pPr>
              <w:spacing w:after="100"/>
            </w:pPr>
            <w:r>
              <w:rPr>
                <w:b/>
                <w:bCs/>
                <w:color w:val="FFFFFF"/>
                <w:sz w:val="18"/>
                <w:szCs w:val="18"/>
              </w:rPr>
              <w:t xml:space="preserve">Birthday: </w:t>
            </w:r>
            <w:r>
              <w:rPr>
                <w:color w:val="FFFFFF"/>
                <w:sz w:val="18"/>
                <w:szCs w:val="18"/>
              </w:rPr>
              <w:t xml:space="preserve">1978-02-19</w:t>
            </w:r>
          </w:p>
          <w:p>
            <w:pPr>
              <w:spacing w:after="100"/>
            </w:pPr>
            <w:r>
              <w:rPr>
                <w:b/>
                <w:bCs/>
                <w:color w:val="FFFFFF"/>
                <w:sz w:val="18"/>
                <w:szCs w:val="18"/>
              </w:rPr>
              <w:t xml:space="preserve">Address: </w:t>
            </w:r>
            <w:r>
              <w:rPr>
                <w:color w:val="FFFFFF"/>
                <w:sz w:val="18"/>
                <w:szCs w:val="18"/>
              </w:rPr>
              <w:t xml:space="preserve">Uhlandstr. 20, 67069 Ludwigshafen</w:t>
            </w:r>
          </w:p>
          <w:p/>
          <w:p>
            <w:pPr>
              <w:spacing w:after="100"/>
            </w:pPr>
            <w:r>
              <w:rPr>
                <w:rFonts w:ascii="Space Grotesk" w:cs="Space Grotesk" w:eastAsia="Space Grotesk" w:hAnsi="Space Grotesk"/>
                <w:b/>
                <w:bCs/>
                <w:color w:val="FFFFFF"/>
                <w:sz w:val="18"/>
                <w:szCs w:val="18"/>
              </w:rPr>
              <w:t xml:space="preserve">Sprachen</w:t>
            </w:r>
          </w:p>
          <w:p>
            <w:r>
              <w:rPr>
                <w:color w:val="FFFFFF"/>
                <w:sz w:val="16"/>
                <w:szCs w:val="16"/>
              </w:rPr>
              <w:t xml:space="preserve">Deutsch (Muttersprache)</w:t>
            </w:r>
            <w:r>
              <w:rPr>
                <w:color w:val="FFFFFF"/>
                <w:sz w:val="16"/>
                <w:szCs w:val="16"/>
              </w:rPr>
              <w:t xml:space="preserve">, </w:t>
            </w:r>
            <w:r>
              <w:rPr>
                <w:color w:val="FFFFFF"/>
                <w:sz w:val="16"/>
                <w:szCs w:val="16"/>
              </w:rPr>
              <w:t xml:space="preserve">Englisch (C2)</w:t>
            </w:r>
          </w:p>
        </w:tc>
        <w:tc>
          <w:tcPr>
            <w:tcW w:type="dxa" w:w="8400"/>
          </w:tcPr>
          <w:p>
            <w:pPr>
              <w:spacing w:after="100"/>
            </w:pPr>
            <w:r>
              <w:rPr>
                <w:rFonts w:ascii="Space Grotesk" w:cs="Space Grotesk" w:eastAsia="Space Grotesk" w:hAnsi="Space Grotesk"/>
                <w:b/>
                <w:bCs/>
                <w:color w:val="07090B"/>
                <w:sz w:val="44"/>
                <w:szCs w:val="44"/>
              </w:rPr>
              <w:t xml:space="preserve">Uwe Schwarz</w:t>
            </w:r>
          </w:p>
          <w:p>
            <w:pPr>
              <w:spacing w:after="200"/>
            </w:pPr>
            <w:r>
              <w:rPr>
                <w:color w:val="1B6E5A"/>
                <w:sz w:val="18"/>
                <w:szCs w:val="18"/>
              </w:rPr>
              <w:t xml:space="preserve">Ich übersetze komplexe Anforderungen in robuste, skalierbare und langfristig tragfähige Systeme. Dabei arbeite ich an der Schnittstelle von moderner Software, Plattformen, Infrastruktur und KI-nahen Workflows – mit einem klaren Fokus auf Lösungen, die technisch sauber, sicher betreibbar und in der Praxis wirklich brauchbar sind.</w:t>
            </w:r>
          </w:p>
          <w:p>
            <w:pPr>
              <w:pStyle w:val="Heading2"/>
              <w:pBdr>
                <w:bottom w:val="single" w:color="auto" w:sz="6" w:space="1"/>
              </w:pBdr>
            </w:pPr>
            <w:r>
              <w:t xml:space="preserve">Profil</w:t>
            </w:r>
          </w:p>
          <w:p>
            <w:pPr>
              <w:spacing w:after="100"/>
            </w:pPr>
            <w:r>
              <w:rPr>
                <w:sz w:val="18"/>
                <w:szCs w:val="18"/>
              </w:rPr>
              <w:t xml:space="preserve">Mit über zwei Jahrzehnten praktischer Erfahrung in IT, Infrastruktur und Security entwickle ich sichere, skalierbare und langfristig tragfähige Systeme. Mein Fokus liegt auf der Architektur und Umsetzung technischer Lösungen – von Linux- und Netzwerk-Infrastrukturen über Security- und Compliance-nahe Plattformen bis hin zu moderner Software für mandantenfähige SaaS-Produkte.</w:t>
            </w:r>
          </w:p>
          <w:p>
            <w:pPr>
              <w:spacing w:after="200"/>
            </w:pPr>
            <w:r>
              <w:rPr>
                <w:sz w:val="18"/>
                <w:szCs w:val="18"/>
              </w:rPr>
              <w:t xml:space="preserve">Ich arbeite an der Schnittstelle von technischer Tiefe und klarer Umsetzung. Ob Plattformarchitektur, Security-by-Design, Infrastrukturmodernisierung oder die Übersetzung regulatorischer Anforderungen in belastbare technische Systeme: Ich verbinde Architektur, Engineering und Pragmatismus, damit aus Komplexität funktionierende Lösungen werden.</w:t>
            </w:r>
          </w:p>
          <w:p>
            <w:pPr>
              <w:pStyle w:val="Heading2"/>
              <w:keepLines/>
              <w:pBdr>
                <w:bottom w:val="single" w:color="auto" w:sz="6" w:space="1"/>
              </w:pBdr>
              <w:spacing w:after="100"/>
            </w:pPr>
            <w:r>
              <w:t xml:space="preserve">Berufserfahrung</w:t>
            </w:r>
          </w:p>
          <w:p>
            <w:pPr>
              <w:spacing w:after="50" w:before="150"/>
            </w:pPr>
            <w:r>
              <w:rPr>
                <w:b/>
                <w:bCs/>
                <w:sz w:val="20"/>
                <w:szCs w:val="20"/>
              </w:rPr>
              <w:t xml:space="preserve">Schlüsselprojekte</w:t>
            </w:r>
          </w:p>
          <w:p>
            <w:pPr>
              <w:spacing w:after="50"/>
            </w:pPr>
            <w:r>
              <w:rPr>
                <w:color w:val="1B6E5A"/>
                <w:sz w:val="18"/>
                <w:szCs w:val="18"/>
              </w:rPr>
              <w:t xml:space="preserve">Wesentliche technische und organisatorische Engagements mit hoher Verantwortung.</w:t>
            </w:r>
          </w:p>
          <w:p>
            <w:pPr>
              <w:spacing w:after="80"/>
            </w:pPr>
            <w:r>
              <w:rPr>
                <w:color w:val="3A2366"/>
                <w:sz w:val="16"/>
                <w:szCs w:val="16"/>
              </w:rPr>
              <w:t xml:space="preserve">Eine kuratierte Auswahl mehrmonatiger und mehrjähriger Arbeiten; weitere Details auf Anfrage.</w:t>
            </w:r>
          </w:p>
          <w:p>
            <w:r>
              <w:rPr>
                <w:b/>
                <w:bCs/>
                <w:sz w:val="20"/>
                <w:szCs w:val="20"/>
              </w:rPr>
              <w:t xml:space="preserve">Technische Programmleitung IPv6-Migration &amp; IP-Adressmanagement mit Infoblox</w:t>
            </w:r>
          </w:p>
          <w:p>
            <w:r>
              <w:rPr>
                <w:color w:val="1B6E5A"/>
                <w:sz w:val="18"/>
                <w:szCs w:val="18"/>
              </w:rPr>
              <w:t xml:space="preserve">Deutsche Rentenversicherung</w:t>
            </w:r>
            <w:r>
              <w:rPr>
                <w:color w:val="3A2366"/>
                <w:sz w:val="18"/>
                <w:szCs w:val="18"/>
              </w:rPr>
              <w:t xml:space="preserve"> — Jan 2026 - Heute</w:t>
            </w:r>
          </w:p>
          <w:p>
            <w:pPr>
              <w:spacing w:after="100"/>
            </w:pPr>
            <w:r>
              <w:rPr>
                <w:color w:val="3A2366"/>
                <w:sz w:val="18"/>
                <w:szCs w:val="18"/>
              </w:rPr>
              <w:t xml:space="preserve">Deutschland</w:t>
            </w:r>
          </w:p>
          <w:p>
            <w:pPr>
              <w:pStyle w:val="ListParagraph"/>
              <w:numPr>
                <w:ilvl w:val="0"/>
                <w:numId w:val="1"/>
              </w:numPr>
            </w:pPr>
            <w:r>
              <w:rPr>
                <w:b w:val="false"/>
                <w:bCs w:val="false"/>
                <w:color w:val="07090B"/>
                <w:sz w:val="18"/>
                <w:szCs w:val="18"/>
              </w:rPr>
              <w:t xml:space="preserve">Technische Programmverantwortung für die IPv6-Migration. Schwerpunkte sind die Migrationsplanung, die Netzwerkarchitektur und das IP-Adressmanagement mit Infoblox.</w:t>
            </w:r>
          </w:p>
          <w:p>
            <w:pPr>
              <w:pStyle w:val="ListParagraph"/>
              <w:numPr>
                <w:ilvl w:val="0"/>
                <w:numId w:val="1"/>
              </w:numPr>
            </w:pPr>
            <w:r>
              <w:rPr>
                <w:b w:val="false"/>
                <w:bCs w:val="false"/>
                <w:color w:val="07090B"/>
                <w:sz w:val="18"/>
                <w:szCs w:val="18"/>
              </w:rPr>
              <w:t xml:space="preserve">Konzeption der IPv6-Adressierung und Abstimmung der Abbildung in Infoblox als Grundlage für eine konsistente Verwaltung von Adressräumen und Netzsegmenten im Dual-Stack-Betrieb.</w:t>
            </w:r>
          </w:p>
          <w:p>
            <w:pPr>
              <w:pStyle w:val="ListParagraph"/>
              <w:numPr>
                <w:ilvl w:val="0"/>
                <w:numId w:val="1"/>
              </w:numPr>
            </w:pPr>
            <w:r>
              <w:rPr>
                <w:b w:val="false"/>
                <w:bCs w:val="false"/>
                <w:color w:val="07090B"/>
                <w:sz w:val="18"/>
                <w:szCs w:val="18"/>
              </w:rPr>
              <w:t xml:space="preserve">Koordination der technischen Vorarbeiten für Testlabor und Rollout sowie Abstimmung der Abhängigkeiten zwischen Netzwerkbetrieb, Architektur und Informationssicherheit.</w:t>
            </w:r>
          </w:p>
          <w:p>
            <w:pPr>
              <w:pStyle w:val="ListParagraph"/>
              <w:numPr>
                <w:ilvl w:val="0"/>
                <w:numId w:val="1"/>
              </w:numPr>
            </w:pPr>
            <w:r>
              <w:rPr>
                <w:b w:val="false"/>
                <w:bCs w:val="false"/>
                <w:color w:val="07090B"/>
                <w:sz w:val="18"/>
                <w:szCs w:val="18"/>
              </w:rPr>
              <w:t xml:space="preserve">Berücksichtigung sicherheits- und compliance-relevanter Anforderungen im Kontext von BSI, NIS2 und KRITIS sowie deren Überführung in nachvollziehbare Nachweise und Management-Reporting.</w:t>
            </w:r>
          </w:p>
          <w:p>
            <w:pPr>
              <w:pStyle w:val="ListParagraph"/>
              <w:numPr>
                <w:ilvl w:val="0"/>
                <w:numId w:val="1"/>
              </w:numPr>
            </w:pPr>
            <w:r>
              <w:rPr>
                <w:b/>
                <w:bCs/>
                <w:color w:val="1B6E5A"/>
                <w:sz w:val="18"/>
                <w:szCs w:val="18"/>
              </w:rPr>
              <w:t xml:space="preserve">Erfolg: Übergreifende Programmsteuerung aufgebaut: Dashboard, KPI-Portfolio, Risikoregister und dokumentierte Entscheidungen.</w:t>
            </w:r>
          </w:p>
          <w:p>
            <w:pPr>
              <w:pStyle w:val="ListParagraph"/>
              <w:numPr>
                <w:ilvl w:val="0"/>
                <w:numId w:val="1"/>
              </w:numPr>
            </w:pPr>
            <w:r>
              <w:rPr>
                <w:b/>
                <w:bCs/>
                <w:color w:val="1B6E5A"/>
                <w:sz w:val="18"/>
                <w:szCs w:val="18"/>
              </w:rPr>
              <w:t xml:space="preserve">Erfolg: Operative Grundlage für die Migration geschaffen: klare Verantwortlichkeiten, messbarer Fortschritt und abgestimmte Umsetzungsschritte.</w:t>
            </w:r>
          </w:p>
          <w:p/>
          <w:p>
            <w:r>
              <w:rPr>
                <w:b/>
                <w:bCs/>
                <w:sz w:val="20"/>
                <w:szCs w:val="20"/>
              </w:rPr>
              <w:t xml:space="preserve">Technische Teilprojektleitung RZ-Migration &amp; Backup-Modernisierung</w:t>
            </w:r>
          </w:p>
          <w:p>
            <w:r>
              <w:rPr>
                <w:color w:val="1B6E5A"/>
                <w:sz w:val="18"/>
                <w:szCs w:val="18"/>
              </w:rPr>
              <w:t xml:space="preserve">Joh. Berenberg, Gossler &amp; Co. KG</w:t>
            </w:r>
            <w:r>
              <w:rPr>
                <w:color w:val="3A2366"/>
                <w:sz w:val="18"/>
                <w:szCs w:val="18"/>
              </w:rPr>
              <w:t xml:space="preserve"> — Jan 2024 - Sep 2025</w:t>
            </w:r>
          </w:p>
          <w:p>
            <w:pPr>
              <w:spacing w:after="100"/>
            </w:pPr>
            <w:r>
              <w:rPr>
                <w:color w:val="3A2366"/>
                <w:sz w:val="18"/>
                <w:szCs w:val="18"/>
              </w:rPr>
              <w:t xml:space="preserve">Hamburg, Deutschland</w:t>
            </w:r>
          </w:p>
          <w:p>
            <w:pPr>
              <w:pStyle w:val="ListParagraph"/>
              <w:numPr>
                <w:ilvl w:val="0"/>
                <w:numId w:val="1"/>
              </w:numPr>
            </w:pPr>
            <w:r>
              <w:rPr>
                <w:b w:val="false"/>
                <w:bCs w:val="false"/>
                <w:color w:val="07090B"/>
                <w:sz w:val="18"/>
                <w:szCs w:val="18"/>
              </w:rPr>
              <w:t xml:space="preserve">Technische Teilprojektverantwortung im Rahmen der Rechenzentrumsmigration mit Schwerpunkt auf Solaris-, Linux-, Storage- und Backup-Umgebungen.</w:t>
            </w:r>
          </w:p>
          <w:p>
            <w:pPr>
              <w:pStyle w:val="ListParagraph"/>
              <w:numPr>
                <w:ilvl w:val="0"/>
                <w:numId w:val="1"/>
              </w:numPr>
            </w:pPr>
            <w:r>
              <w:rPr>
                <w:b w:val="false"/>
                <w:bCs w:val="false"/>
                <w:color w:val="07090B"/>
                <w:sz w:val="18"/>
                <w:szCs w:val="18"/>
              </w:rPr>
              <w:t xml:space="preserve">Konzeption, Modernisierung und Einführung der unternehmensweiten Backup-Plattform auf Basis der Rubrik Security Cloud inklusive technischer Abstimmung über Betriebs-, Security- und Wiederherstellungsanforderungen hinweg.</w:t>
            </w:r>
          </w:p>
          <w:p>
            <w:pPr>
              <w:pStyle w:val="ListParagraph"/>
              <w:numPr>
                <w:ilvl w:val="0"/>
                <w:numId w:val="1"/>
              </w:numPr>
            </w:pPr>
            <w:r>
              <w:rPr>
                <w:b w:val="false"/>
                <w:bCs w:val="false"/>
                <w:color w:val="07090B"/>
                <w:sz w:val="18"/>
                <w:szCs w:val="18"/>
              </w:rPr>
              <w:t xml:space="preserve">Mitwirkung an der Weiterentwicklung der Solaris-Infrastruktur und an der schrittweisen Ablösung von Legacy-Systemen zugunsten moderner, cloudfähiger Zielarchitekturen.</w:t>
            </w:r>
          </w:p>
          <w:p>
            <w:pPr>
              <w:pStyle w:val="ListParagraph"/>
              <w:numPr>
                <w:ilvl w:val="0"/>
                <w:numId w:val="1"/>
              </w:numPr>
            </w:pPr>
            <w:r>
              <w:rPr>
                <w:b w:val="false"/>
                <w:bCs w:val="false"/>
                <w:color w:val="07090B"/>
                <w:sz w:val="18"/>
                <w:szCs w:val="18"/>
              </w:rPr>
              <w:t xml:space="preserve">Unterstützung bei der technischen Erneuerung der Netzwerkinfrastruktur hin zu einer segmentierten, sicherheitsorientierten Architektur mit klareren Betriebs- und Schutzgrenzen.</w:t>
            </w:r>
          </w:p>
          <w:p>
            <w:pPr>
              <w:pStyle w:val="ListParagraph"/>
              <w:numPr>
                <w:ilvl w:val="0"/>
                <w:numId w:val="1"/>
              </w:numPr>
            </w:pPr>
            <w:r>
              <w:rPr>
                <w:b/>
                <w:bCs/>
                <w:color w:val="1B6E5A"/>
                <w:sz w:val="18"/>
                <w:szCs w:val="18"/>
              </w:rPr>
              <w:t xml:space="preserve">Erfolg: Verlagerung von zwei Rechenzentren mit minimierten Ausfallzeiten: Beitrag zur technischen Vorbereitung und koordinierten Umsetzung über alle Infrastrukturabhängigkeiten hinweg.</w:t>
            </w:r>
          </w:p>
          <w:p>
            <w:pPr>
              <w:pStyle w:val="ListParagraph"/>
              <w:numPr>
                <w:ilvl w:val="0"/>
                <w:numId w:val="1"/>
              </w:numPr>
            </w:pPr>
            <w:r>
              <w:rPr>
                <w:b/>
                <w:bCs/>
                <w:color w:val="1B6E5A"/>
                <w:sz w:val="18"/>
                <w:szCs w:val="18"/>
              </w:rPr>
              <w:t xml:space="preserve">Erfolg: Modernisierte Backup-Baseline auf Basis der Rubrik Security Cloud etabliert – mit besserer Datensicherheit, Compliance und Wiederherstellbarkeit in mehreren Fachbereichen.</w:t>
            </w:r>
          </w:p>
          <w:p/>
          <w:p>
            <w:r>
              <w:rPr>
                <w:b/>
                <w:bCs/>
                <w:sz w:val="20"/>
                <w:szCs w:val="20"/>
              </w:rPr>
              <w:t xml:space="preserve">Information Security Engineer &amp; Compliance</w:t>
            </w:r>
          </w:p>
          <w:p>
            <w:r>
              <w:rPr>
                <w:color w:val="1B6E5A"/>
                <w:sz w:val="18"/>
                <w:szCs w:val="18"/>
              </w:rPr>
              <w:t xml:space="preserve">Threedium Ltd.</w:t>
            </w:r>
            <w:r>
              <w:rPr>
                <w:color w:val="3A2366"/>
                <w:sz w:val="18"/>
                <w:szCs w:val="18"/>
              </w:rPr>
              <w:t xml:space="preserve"> — Okt 2023 - Jun 2024</w:t>
            </w:r>
          </w:p>
          <w:p>
            <w:pPr>
              <w:spacing w:after="100"/>
            </w:pPr>
            <w:r>
              <w:rPr>
                <w:color w:val="3A2366"/>
                <w:sz w:val="18"/>
                <w:szCs w:val="18"/>
              </w:rPr>
              <w:t xml:space="preserve">London, Vereinigtes Königreich</w:t>
            </w:r>
          </w:p>
          <w:p>
            <w:pPr>
              <w:pStyle w:val="ListParagraph"/>
              <w:numPr>
                <w:ilvl w:val="0"/>
                <w:numId w:val="1"/>
              </w:numPr>
            </w:pPr>
            <w:r>
              <w:rPr>
                <w:b w:val="false"/>
                <w:bCs w:val="false"/>
                <w:color w:val="07090B"/>
                <w:sz w:val="18"/>
                <w:szCs w:val="18"/>
              </w:rPr>
              <w:t xml:space="preserve">Beratung und Umsetzung in den Bereichen Informationssicherheit, technische Security Controls und organisatorische Sicherheitsanforderungen.</w:t>
            </w:r>
          </w:p>
          <w:p>
            <w:pPr>
              <w:pStyle w:val="ListParagraph"/>
              <w:numPr>
                <w:ilvl w:val="0"/>
                <w:numId w:val="1"/>
              </w:numPr>
            </w:pPr>
            <w:r>
              <w:rPr>
                <w:b w:val="false"/>
                <w:bCs w:val="false"/>
                <w:color w:val="07090B"/>
                <w:sz w:val="18"/>
                <w:szCs w:val="18"/>
              </w:rPr>
              <w:t xml:space="preserve">Unterstützung des DevOps-Teams bei sicherheitsrelevanten Fragestellungen, betrieblichen Hardening-Maßnahmen und der Einbettung von Security-Anforderungen in bestehende Plattform- und Deployment-Prozesse.</w:t>
            </w:r>
          </w:p>
          <w:p>
            <w:pPr>
              <w:pStyle w:val="ListParagraph"/>
              <w:numPr>
                <w:ilvl w:val="0"/>
                <w:numId w:val="1"/>
              </w:numPr>
            </w:pPr>
            <w:r>
              <w:rPr>
                <w:b w:val="false"/>
                <w:bCs w:val="false"/>
                <w:color w:val="07090B"/>
                <w:sz w:val="18"/>
                <w:szCs w:val="18"/>
              </w:rPr>
              <w:t xml:space="preserve">Integration von Diensten in die bestehende SSO-Infrastruktur zur Vereinheitlichung von Authentifizierung, Zugriffssteuerung und Benutzerverwaltung über mehrere Plattformen hinweg.</w:t>
            </w:r>
          </w:p>
          <w:p>
            <w:pPr>
              <w:pStyle w:val="ListParagraph"/>
              <w:numPr>
                <w:ilvl w:val="0"/>
                <w:numId w:val="1"/>
              </w:numPr>
            </w:pPr>
            <w:r>
              <w:rPr>
                <w:b w:val="false"/>
                <w:bCs w:val="false"/>
                <w:color w:val="07090B"/>
                <w:sz w:val="18"/>
                <w:szCs w:val="18"/>
              </w:rPr>
              <w:t xml:space="preserve">Begleitung der Audit- und Zertifizierungsvorbereitung für SOC 2 und ISO 27001 inklusive Anforderungsabgleich, Nachweisführung und Abstimmung technischer sowie organisatorischer Maßnahmen.</w:t>
            </w:r>
          </w:p>
          <w:p>
            <w:pPr>
              <w:pStyle w:val="ListParagraph"/>
              <w:numPr>
                <w:ilvl w:val="0"/>
                <w:numId w:val="1"/>
              </w:numPr>
            </w:pPr>
            <w:r>
              <w:rPr>
                <w:b w:val="false"/>
                <w:bCs w:val="false"/>
                <w:color w:val="07090B"/>
                <w:sz w:val="18"/>
                <w:szCs w:val="18"/>
              </w:rPr>
              <w:t xml:space="preserve">Beratung zu DSGVO-Anforderungen sowie Einführung von Aufbewahrungsfristen, Datenschutzrichtlinien und zugehörigen organisatorischen Vorgaben.</w:t>
            </w:r>
          </w:p>
          <w:p>
            <w:pPr>
              <w:pStyle w:val="ListParagraph"/>
              <w:numPr>
                <w:ilvl w:val="0"/>
                <w:numId w:val="1"/>
              </w:numPr>
            </w:pPr>
            <w:r>
              <w:rPr>
                <w:b w:val="false"/>
                <w:bCs w:val="false"/>
                <w:color w:val="07090B"/>
                <w:sz w:val="18"/>
                <w:szCs w:val="18"/>
              </w:rPr>
              <w:t xml:space="preserve">Einführung und Weiterentwicklung von Sicherheitsrichtlinien und Basiskontrollen zur Stärkung des unternehmensweiten Sicherheitsniveaus.</w:t>
            </w:r>
          </w:p>
          <w:p>
            <w:pPr>
              <w:pStyle w:val="ListParagraph"/>
              <w:numPr>
                <w:ilvl w:val="0"/>
                <w:numId w:val="1"/>
              </w:numPr>
            </w:pPr>
            <w:r>
              <w:rPr>
                <w:b/>
                <w:bCs/>
                <w:color w:val="1B6E5A"/>
                <w:sz w:val="18"/>
                <w:szCs w:val="18"/>
              </w:rPr>
              <w:t xml:space="preserve">Erfolg: SOC-2-Audit ohne Beanstandungen, gestützt auf die umgesetzten IT-Sicherheitsmaßnahmen – zentrale Kundenanforderungen damit abgesichert.</w:t>
            </w:r>
          </w:p>
          <w:p>
            <w:pPr>
              <w:pStyle w:val="ListParagraph"/>
              <w:numPr>
                <w:ilvl w:val="0"/>
                <w:numId w:val="1"/>
              </w:numPr>
            </w:pPr>
            <w:r>
              <w:rPr>
                <w:b/>
                <w:bCs/>
                <w:color w:val="1B6E5A"/>
                <w:sz w:val="18"/>
                <w:szCs w:val="18"/>
              </w:rPr>
              <w:t xml:space="preserve">Erfolg: Beitrag zur erfolgreichen ISO-27001-Zertifizierung in engem Zeitrahmen: strukturierte Umsetzung von Anforderungen, Kontrollen und Nachweisen.</w:t>
            </w:r>
          </w:p>
          <w:p>
            <w:pPr>
              <w:pStyle w:val="ListParagraph"/>
              <w:numPr>
                <w:ilvl w:val="0"/>
                <w:numId w:val="1"/>
              </w:numPr>
            </w:pPr>
            <w:r>
              <w:rPr>
                <w:b/>
                <w:bCs/>
                <w:color w:val="1B6E5A"/>
                <w:sz w:val="18"/>
                <w:szCs w:val="18"/>
              </w:rPr>
              <w:t xml:space="preserve">Erfolg: SSO über mehrere Plattformen hinweg integriert – mit mehr Sicherheit, einheitlichen Zugriffen und besserem Nutzererlebnis.</w:t>
            </w:r>
          </w:p>
          <w:p/>
          <w:p>
            <w:r>
              <w:rPr>
                <w:b/>
                <w:bCs/>
                <w:sz w:val="20"/>
                <w:szCs w:val="20"/>
              </w:rPr>
              <w:t xml:space="preserve">Security Engineer &amp; Incident Response</w:t>
            </w:r>
          </w:p>
          <w:p>
            <w:r>
              <w:rPr>
                <w:color w:val="1B6E5A"/>
                <w:sz w:val="18"/>
                <w:szCs w:val="18"/>
              </w:rPr>
              <w:t xml:space="preserve">Deutsche Vermögensberatung AG</w:t>
            </w:r>
            <w:r>
              <w:rPr>
                <w:color w:val="3A2366"/>
                <w:sz w:val="18"/>
                <w:szCs w:val="18"/>
              </w:rPr>
              <w:t xml:space="preserve"> — Jan 2019 - Sep 2023</w:t>
            </w:r>
          </w:p>
          <w:p>
            <w:pPr>
              <w:spacing w:after="100"/>
            </w:pPr>
            <w:r>
              <w:rPr>
                <w:color w:val="3A2366"/>
                <w:sz w:val="18"/>
                <w:szCs w:val="18"/>
              </w:rPr>
              <w:t xml:space="preserve">Frankfurt am Main, Deutschland</w:t>
            </w:r>
          </w:p>
          <w:p>
            <w:pPr>
              <w:pStyle w:val="ListParagraph"/>
              <w:numPr>
                <w:ilvl w:val="0"/>
                <w:numId w:val="1"/>
              </w:numPr>
            </w:pPr>
            <w:r>
              <w:rPr>
                <w:b w:val="false"/>
                <w:bCs w:val="false"/>
                <w:color w:val="07090B"/>
                <w:sz w:val="18"/>
                <w:szCs w:val="18"/>
              </w:rPr>
              <w:t xml:space="preserve">Beratung und technische Unterstützung in Informationssicherheit mit Schwerpunkt auf Server-, Netzwerk- und Infrastruktur-Security.</w:t>
            </w:r>
          </w:p>
          <w:p>
            <w:pPr>
              <w:pStyle w:val="ListParagraph"/>
              <w:numPr>
                <w:ilvl w:val="0"/>
                <w:numId w:val="1"/>
              </w:numPr>
            </w:pPr>
            <w:r>
              <w:rPr>
                <w:b w:val="false"/>
                <w:bCs w:val="false"/>
                <w:color w:val="07090B"/>
                <w:sz w:val="18"/>
                <w:szCs w:val="18"/>
              </w:rPr>
              <w:t xml:space="preserve">Unterstützung der strategischen und operativen Maßnahmen während eines größeren Sicherheitsvorfalls, einschließlich Koordination von Reaktion, Eindämmung und Wiederanlauf.</w:t>
            </w:r>
          </w:p>
          <w:p>
            <w:pPr>
              <w:pStyle w:val="ListParagraph"/>
              <w:numPr>
                <w:ilvl w:val="0"/>
                <w:numId w:val="1"/>
              </w:numPr>
            </w:pPr>
            <w:r>
              <w:rPr>
                <w:b w:val="false"/>
                <w:bCs w:val="false"/>
                <w:color w:val="07090B"/>
                <w:sz w:val="18"/>
                <w:szCs w:val="18"/>
              </w:rPr>
              <w:t xml:space="preserve">Erstellung und Weiterentwicklung von Sicherheitsrichtlinien, technischen Konzepten und umsetzungsnahen Sicherheitsvorgaben.</w:t>
            </w:r>
          </w:p>
          <w:p>
            <w:pPr>
              <w:pStyle w:val="ListParagraph"/>
              <w:numPr>
                <w:ilvl w:val="0"/>
                <w:numId w:val="1"/>
              </w:numPr>
            </w:pPr>
            <w:r>
              <w:rPr>
                <w:b w:val="false"/>
                <w:bCs w:val="false"/>
                <w:color w:val="07090B"/>
                <w:sz w:val="18"/>
                <w:szCs w:val="18"/>
              </w:rPr>
              <w:t xml:space="preserve">Automatisierung des Schwachstellen- und Vorfallsmanagements zur strukturierten Erfassung, Priorisierung und Bearbeitung sicherheitsrelevanter Ereignisse.</w:t>
            </w:r>
          </w:p>
          <w:p>
            <w:pPr>
              <w:pStyle w:val="ListParagraph"/>
              <w:numPr>
                <w:ilvl w:val="0"/>
                <w:numId w:val="1"/>
              </w:numPr>
            </w:pPr>
            <w:r>
              <w:rPr>
                <w:b w:val="false"/>
                <w:bCs w:val="false"/>
                <w:color w:val="07090B"/>
                <w:sz w:val="18"/>
                <w:szCs w:val="18"/>
              </w:rPr>
              <w:t xml:space="preserve">Unterstützung bei Aufbau und Weiterentwicklung von IT-Architektur und Sicherheitsstrategie, insbesondere in den Bereichen Netzwerkarchitektur, Cloud-Infrastruktur und Firewall-Konzepte.</w:t>
            </w:r>
          </w:p>
          <w:p>
            <w:pPr>
              <w:pStyle w:val="ListParagraph"/>
              <w:numPr>
                <w:ilvl w:val="0"/>
                <w:numId w:val="1"/>
              </w:numPr>
            </w:pPr>
            <w:r>
              <w:rPr>
                <w:b w:val="false"/>
                <w:bCs w:val="false"/>
                <w:color w:val="07090B"/>
                <w:sz w:val="18"/>
                <w:szCs w:val="18"/>
              </w:rPr>
              <w:t xml:space="preserve">Vorbereitung und fachliche Begleitung von Penetrationstests in den Bereichen Netzwerk, Cloud, Anwendungen und Active Directory.</w:t>
            </w:r>
          </w:p>
          <w:p>
            <w:pPr>
              <w:pStyle w:val="ListParagraph"/>
              <w:numPr>
                <w:ilvl w:val="0"/>
                <w:numId w:val="1"/>
              </w:numPr>
            </w:pPr>
            <w:r>
              <w:rPr>
                <w:b w:val="false"/>
                <w:bCs w:val="false"/>
                <w:color w:val="07090B"/>
                <w:sz w:val="18"/>
                <w:szCs w:val="18"/>
              </w:rPr>
              <w:t xml:space="preserve">Operative Verantwortung im SOC-Umfeld mit Fokus auf Sicherheitsmonitoring, Incident Response und kontinuierliche Verbesserung von Analyse- und Eskalationsprozessen.</w:t>
            </w:r>
          </w:p>
          <w:p>
            <w:pPr>
              <w:pStyle w:val="ListParagraph"/>
              <w:numPr>
                <w:ilvl w:val="0"/>
                <w:numId w:val="1"/>
              </w:numPr>
            </w:pPr>
            <w:r>
              <w:rPr>
                <w:b w:val="false"/>
                <w:bCs w:val="false"/>
                <w:color w:val="07090B"/>
                <w:sz w:val="18"/>
                <w:szCs w:val="18"/>
              </w:rPr>
              <w:t xml:space="preserve">Durchführung von Sicherheits-Audits sowie sicherheitstechnische Begleitung von Applikations- und Netzwerk-Migrationen.</w:t>
            </w:r>
          </w:p>
          <w:p>
            <w:pPr>
              <w:pStyle w:val="ListParagraph"/>
              <w:numPr>
                <w:ilvl w:val="0"/>
                <w:numId w:val="1"/>
              </w:numPr>
            </w:pPr>
            <w:r>
              <w:rPr>
                <w:b w:val="false"/>
                <w:bCs w:val="false"/>
                <w:color w:val="07090B"/>
                <w:sz w:val="18"/>
                <w:szCs w:val="18"/>
              </w:rPr>
              <w:t xml:space="preserve">Technischer Schwerpunkt auf Linux und Netzwerken sowie ergänzende Sicherheitsberatung für Windows-, Azure- und Entwicklungsumgebungen.</w:t>
            </w:r>
          </w:p>
          <w:p>
            <w:pPr>
              <w:pStyle w:val="ListParagraph"/>
              <w:numPr>
                <w:ilvl w:val="0"/>
                <w:numId w:val="1"/>
              </w:numPr>
            </w:pPr>
            <w:r>
              <w:rPr>
                <w:b w:val="false"/>
                <w:bCs w:val="false"/>
                <w:color w:val="07090B"/>
                <w:sz w:val="18"/>
                <w:szCs w:val="18"/>
              </w:rPr>
              <w:t xml:space="preserve">Beratung zu Datenschutz-, Audit- und Zertifizierungsanforderungen, unter anderem mit Bezug auf ISO 27001, BSI Grundschutz, NIST und MITRE.</w:t>
            </w:r>
          </w:p>
          <w:p>
            <w:pPr>
              <w:pStyle w:val="ListParagraph"/>
              <w:numPr>
                <w:ilvl w:val="0"/>
                <w:numId w:val="1"/>
              </w:numPr>
            </w:pPr>
            <w:r>
              <w:rPr>
                <w:b/>
                <w:bCs/>
                <w:color w:val="1B6E5A"/>
                <w:sz w:val="18"/>
                <w:szCs w:val="18"/>
              </w:rPr>
              <w:t xml:space="preserve">Erfolg: Schwachstellenmanagement entwickelt und automatisiert – mit schnelleren Reaktionszeiten und mehr Transparenz bei der Vorfallsbearbeitung.</w:t>
            </w:r>
          </w:p>
          <w:p>
            <w:pPr>
              <w:pStyle w:val="ListParagraph"/>
              <w:numPr>
                <w:ilvl w:val="0"/>
                <w:numId w:val="1"/>
              </w:numPr>
            </w:pPr>
            <w:r>
              <w:rPr>
                <w:b/>
                <w:bCs/>
                <w:color w:val="1B6E5A"/>
                <w:sz w:val="18"/>
                <w:szCs w:val="18"/>
              </w:rPr>
              <w:t xml:space="preserve">Erfolg: Sicherheitsrichtlinien und technische Sicherheitsvorgaben eingeführt, die im Unternehmen als wiederverwendbare Best Practices übernommen wurden.</w:t>
            </w:r>
          </w:p>
          <w:p>
            <w:pPr>
              <w:pStyle w:val="ListParagraph"/>
              <w:numPr>
                <w:ilvl w:val="0"/>
                <w:numId w:val="1"/>
              </w:numPr>
            </w:pPr>
            <w:r>
              <w:rPr>
                <w:b/>
                <w:bCs/>
                <w:color w:val="1B6E5A"/>
                <w:sz w:val="18"/>
                <w:szCs w:val="18"/>
              </w:rPr>
              <w:t xml:space="preserve">Erfolg: Beitrag zur koordinierten Reaktion auf einen größeren Sicherheitsvorfall mit Fokus auf Schadensbegrenzung, Wiederherstellung und betriebliche Stabilisierung.</w:t>
            </w:r>
          </w:p>
          <w:p/>
          <w:p>
            <w:r>
              <w:rPr>
                <w:b/>
                <w:bCs/>
                <w:sz w:val="20"/>
                <w:szCs w:val="20"/>
              </w:rPr>
              <w:t xml:space="preserve">Senior Engineer Infrastruktur</w:t>
            </w:r>
          </w:p>
          <w:p>
            <w:r>
              <w:rPr>
                <w:color w:val="1B6E5A"/>
                <w:sz w:val="18"/>
                <w:szCs w:val="18"/>
              </w:rPr>
              <w:t xml:space="preserve">Deutsche Vermögensberatung AG</w:t>
            </w:r>
            <w:r>
              <w:rPr>
                <w:color w:val="3A2366"/>
                <w:sz w:val="18"/>
                <w:szCs w:val="18"/>
              </w:rPr>
              <w:t xml:space="preserve"> — Jul 2015 - Dez 2018</w:t>
            </w:r>
          </w:p>
          <w:p>
            <w:pPr>
              <w:spacing w:after="100"/>
            </w:pPr>
            <w:r>
              <w:rPr>
                <w:color w:val="3A2366"/>
                <w:sz w:val="18"/>
                <w:szCs w:val="18"/>
              </w:rPr>
              <w:t xml:space="preserve">Frankfurt am Main, Deutschland</w:t>
            </w:r>
          </w:p>
          <w:p>
            <w:pPr>
              <w:pStyle w:val="ListParagraph"/>
              <w:numPr>
                <w:ilvl w:val="0"/>
                <w:numId w:val="1"/>
              </w:numPr>
            </w:pPr>
            <w:r>
              <w:rPr>
                <w:b w:val="false"/>
                <w:bCs w:val="false"/>
                <w:color w:val="07090B"/>
                <w:sz w:val="18"/>
                <w:szCs w:val="18"/>
              </w:rPr>
              <w:t xml:space="preserve">Technische Koordination und Ressourcenplanung eines kleinen Infrastrukturteams.</w:t>
            </w:r>
          </w:p>
          <w:p>
            <w:pPr>
              <w:pStyle w:val="ListParagraph"/>
              <w:numPr>
                <w:ilvl w:val="0"/>
                <w:numId w:val="1"/>
              </w:numPr>
            </w:pPr>
            <w:r>
              <w:rPr>
                <w:b w:val="false"/>
                <w:bCs w:val="false"/>
                <w:color w:val="07090B"/>
                <w:sz w:val="18"/>
                <w:szCs w:val="18"/>
              </w:rPr>
              <w:t xml:space="preserve">Verantwortungsbereich des Teams: Linux-basierte Plattformen für E-Mail, Cloud-Speicher, Lastverteilung, Proxy und DNS.</w:t>
            </w:r>
          </w:p>
          <w:p>
            <w:pPr>
              <w:pStyle w:val="ListParagraph"/>
              <w:numPr>
                <w:ilvl w:val="0"/>
                <w:numId w:val="1"/>
              </w:numPr>
            </w:pPr>
            <w:r>
              <w:rPr>
                <w:b w:val="false"/>
                <w:bCs w:val="false"/>
                <w:color w:val="07090B"/>
                <w:sz w:val="18"/>
                <w:szCs w:val="18"/>
              </w:rPr>
              <w:t xml:space="preserve">Analyse, Fehlerbehebung und nachhaltige Stabilisierung komplexer E-Mail-Infrastrukturen.</w:t>
            </w:r>
          </w:p>
          <w:p>
            <w:pPr>
              <w:pStyle w:val="ListParagraph"/>
              <w:numPr>
                <w:ilvl w:val="0"/>
                <w:numId w:val="1"/>
              </w:numPr>
            </w:pPr>
            <w:r>
              <w:rPr>
                <w:b w:val="false"/>
                <w:bCs w:val="false"/>
                <w:color w:val="07090B"/>
                <w:sz w:val="18"/>
                <w:szCs w:val="18"/>
              </w:rPr>
              <w:t xml:space="preserve">Beratung und technische Umsetzung in den Bereichen IPv6, Security und hochverfügbare Infrastruktursysteme.</w:t>
            </w:r>
          </w:p>
          <w:p>
            <w:pPr>
              <w:pStyle w:val="ListParagraph"/>
              <w:numPr>
                <w:ilvl w:val="0"/>
                <w:numId w:val="1"/>
              </w:numPr>
            </w:pPr>
            <w:r>
              <w:rPr>
                <w:b w:val="false"/>
                <w:bCs w:val="false"/>
                <w:color w:val="07090B"/>
                <w:sz w:val="18"/>
                <w:szCs w:val="18"/>
              </w:rPr>
              <w:t xml:space="preserve">Technische Teilprojektverantwortung für Rechenzentrumsumzug sowie Migration und Neuaufbau von Applikationen und Serverinfrastrukturen in redundanten, hochverfügbaren Zielumgebungen.</w:t>
            </w:r>
          </w:p>
          <w:p>
            <w:pPr>
              <w:pStyle w:val="ListParagraph"/>
              <w:numPr>
                <w:ilvl w:val="0"/>
                <w:numId w:val="1"/>
              </w:numPr>
            </w:pPr>
            <w:r>
              <w:rPr>
                <w:b/>
                <w:bCs/>
                <w:color w:val="1B6E5A"/>
                <w:sz w:val="18"/>
                <w:szCs w:val="18"/>
              </w:rPr>
              <w:t xml:space="preserve">Erfolg: Erfolgreicher Rechenzentrumsumzug mit stabiler Überführung in den Betrieb – Beitrag durch koordinierte Umsetzung und abgestimmte Infrastrukturabhängigkeiten.</w:t>
            </w:r>
          </w:p>
          <w:p>
            <w:pPr>
              <w:pStyle w:val="ListParagraph"/>
              <w:numPr>
                <w:ilvl w:val="0"/>
                <w:numId w:val="1"/>
              </w:numPr>
            </w:pPr>
            <w:r>
              <w:rPr>
                <w:b/>
                <w:bCs/>
                <w:color w:val="1B6E5A"/>
                <w:sz w:val="18"/>
                <w:szCs w:val="18"/>
              </w:rPr>
              <w:t xml:space="preserve">Erfolg: IPv6 im Unternehmensumfeld eingeführt – als Baustein der langfristigen Modernisierung der Netzwerkinfrastruktur.</w:t>
            </w:r>
          </w:p>
          <w:p>
            <w:pPr>
              <w:pStyle w:val="ListParagraph"/>
              <w:numPr>
                <w:ilvl w:val="0"/>
                <w:numId w:val="1"/>
              </w:numPr>
            </w:pPr>
            <w:r>
              <w:rPr>
                <w:b/>
                <w:bCs/>
                <w:color w:val="1B6E5A"/>
                <w:sz w:val="18"/>
                <w:szCs w:val="18"/>
              </w:rPr>
              <w:t xml:space="preserve">Erfolg: Verbesserung von Teamdurchsatz und Betriebsstabilität durch automatisierte Abläufe und strukturiertere Ressourcensteuerung.</w:t>
            </w:r>
          </w:p>
          <w:p/>
          <w:p>
            <w:r>
              <w:rPr>
                <w:b/>
                <w:bCs/>
                <w:sz w:val="20"/>
                <w:szCs w:val="20"/>
              </w:rPr>
              <w:t xml:space="preserve">Systemarchitekt E-Mail-Archivierung</w:t>
            </w:r>
          </w:p>
          <w:p>
            <w:r>
              <w:rPr>
                <w:color w:val="1B6E5A"/>
                <w:sz w:val="18"/>
                <w:szCs w:val="18"/>
              </w:rPr>
              <w:t xml:space="preserve">Deutsche Vermögensberatung AG</w:t>
            </w:r>
            <w:r>
              <w:rPr>
                <w:color w:val="3A2366"/>
                <w:sz w:val="18"/>
                <w:szCs w:val="18"/>
              </w:rPr>
              <w:t xml:space="preserve"> — Jan 2013 - Jun 2015</w:t>
            </w:r>
          </w:p>
          <w:p>
            <w:pPr>
              <w:spacing w:after="100"/>
            </w:pPr>
            <w:r>
              <w:rPr>
                <w:color w:val="3A2366"/>
                <w:sz w:val="18"/>
                <w:szCs w:val="18"/>
              </w:rPr>
              <w:t xml:space="preserve">Frankfurt am Main, Deutschland</w:t>
            </w:r>
          </w:p>
          <w:p>
            <w:pPr>
              <w:pStyle w:val="ListParagraph"/>
              <w:numPr>
                <w:ilvl w:val="0"/>
                <w:numId w:val="1"/>
              </w:numPr>
            </w:pPr>
            <w:r>
              <w:rPr>
                <w:b w:val="false"/>
                <w:bCs w:val="false"/>
                <w:color w:val="07090B"/>
                <w:sz w:val="18"/>
                <w:szCs w:val="18"/>
              </w:rPr>
              <w:t xml:space="preserve">Systemarchitekt für die unternehmensweite E-Mail-Archivierungsplattform mit Verantwortung für Architektur, technische Weiterentwicklung und langfristige Wartbarkeit.</w:t>
            </w:r>
          </w:p>
          <w:p>
            <w:pPr>
              <w:pStyle w:val="ListParagraph"/>
              <w:numPr>
                <w:ilvl w:val="0"/>
                <w:numId w:val="1"/>
              </w:numPr>
            </w:pPr>
            <w:r>
              <w:rPr>
                <w:b w:val="false"/>
                <w:bCs w:val="false"/>
                <w:color w:val="07090B"/>
                <w:sz w:val="18"/>
                <w:szCs w:val="18"/>
              </w:rPr>
              <w:t xml:space="preserve">Architektur, Design und Implementierung eines rechtssicheren Archivs für mehr als 50.000 Nutzer mit unveränderbarer Aufbewahrung, Prüfbarkeit und dauerhaft tragfähigem Betrieb.</w:t>
            </w:r>
          </w:p>
          <w:p>
            <w:pPr>
              <w:pStyle w:val="ListParagraph"/>
              <w:numPr>
                <w:ilvl w:val="0"/>
                <w:numId w:val="1"/>
              </w:numPr>
            </w:pPr>
            <w:r>
              <w:rPr>
                <w:b w:val="false"/>
                <w:bCs w:val="false"/>
                <w:color w:val="07090B"/>
                <w:sz w:val="18"/>
                <w:szCs w:val="18"/>
              </w:rPr>
              <w:t xml:space="preserve">Einführung skalierbarer Speicher- und Redundanzkonzepte sowie Monitoring, Indexierung und Volltextsuche für die effiziente Auffindbarkeit historischer Korrespondenz.</w:t>
            </w:r>
          </w:p>
          <w:p>
            <w:pPr>
              <w:pStyle w:val="ListParagraph"/>
              <w:numPr>
                <w:ilvl w:val="0"/>
                <w:numId w:val="1"/>
              </w:numPr>
            </w:pPr>
            <w:r>
              <w:rPr>
                <w:b w:val="false"/>
                <w:bCs w:val="false"/>
                <w:color w:val="07090B"/>
                <w:sz w:val="18"/>
                <w:szCs w:val="18"/>
              </w:rPr>
              <w:t xml:space="preserve">Enge Zusammenarbeit mit Legal-, Compliance- und Audit-Teams zur Erfüllung regulatorischer Anforderungen und langfristigen Beweissicherheit.</w:t>
            </w:r>
          </w:p>
          <w:p>
            <w:pPr>
              <w:pStyle w:val="ListParagraph"/>
              <w:numPr>
                <w:ilvl w:val="0"/>
                <w:numId w:val="1"/>
              </w:numPr>
            </w:pPr>
            <w:r>
              <w:rPr>
                <w:b w:val="false"/>
                <w:bCs w:val="false"/>
                <w:color w:val="07090B"/>
                <w:sz w:val="18"/>
                <w:szCs w:val="18"/>
              </w:rPr>
              <w:t xml:space="preserve">Zusätzliche Verantwortung in der umliegenden Mail-Infrastruktur, darunter dovecot, postfix, Linux-basierte Dienste, DNS, Proxy, Lastverteilung und Cloud-Speicher.</w:t>
            </w:r>
          </w:p>
          <w:p>
            <w:pPr>
              <w:pStyle w:val="ListParagraph"/>
              <w:numPr>
                <w:ilvl w:val="0"/>
                <w:numId w:val="1"/>
              </w:numPr>
            </w:pPr>
            <w:r>
              <w:rPr>
                <w:b/>
                <w:bCs/>
                <w:color w:val="1B6E5A"/>
                <w:sz w:val="18"/>
                <w:szCs w:val="18"/>
              </w:rPr>
              <w:t xml:space="preserve">Erfolg: Stabiles, compliance-gerechtes Archiv für mehr als 50.000 Nutzer bereitgestellt, das im gesamten Unternehmen täglich genutzt wurde.</w:t>
            </w:r>
          </w:p>
          <w:p>
            <w:pPr>
              <w:pStyle w:val="ListParagraph"/>
              <w:numPr>
                <w:ilvl w:val="0"/>
                <w:numId w:val="1"/>
              </w:numPr>
            </w:pPr>
            <w:r>
              <w:rPr>
                <w:b/>
                <w:bCs/>
                <w:color w:val="1B6E5A"/>
                <w:sz w:val="18"/>
                <w:szCs w:val="18"/>
              </w:rPr>
              <w:t xml:space="preserve">Erfolg: Unveränderbare Aufbewahrung über mehr als 10 Jahre etabliert – im Einklang mit strengen regulatorischen Anforderungen.</w:t>
            </w:r>
          </w:p>
          <w:p/>
          <w:p>
            <w:pPr>
              <w:spacing w:after="50" w:before="150"/>
            </w:pPr>
            <w:r>
              <w:rPr>
                <w:b/>
                <w:bCs/>
                <w:sz w:val="20"/>
                <w:szCs w:val="20"/>
              </w:rPr>
              <w:t xml:space="preserve">Zusatz- &amp; Schwerpunktprojekte</w:t>
            </w:r>
          </w:p>
          <w:p>
            <w:pPr>
              <w:spacing w:after="50"/>
            </w:pPr>
            <w:r>
              <w:rPr>
                <w:color w:val="1B6E5A"/>
                <w:sz w:val="18"/>
                <w:szCs w:val="18"/>
              </w:rPr>
              <w:t xml:space="preserve">Ergänzende oder spezialisierte Projekte mit flexiblem Umfang.</w:t>
            </w:r>
          </w:p>
          <w:p>
            <w:pPr>
              <w:spacing w:after="80"/>
            </w:pPr>
            <w:r>
              <w:rPr>
                <w:color w:val="3A2366"/>
                <w:sz w:val="16"/>
                <w:szCs w:val="16"/>
              </w:rPr>
              <w:t xml:space="preserve">Spezialisierte, flexible oder fokussierte Initiativen, die die Gesamtarbeit ergänzen.</w:t>
            </w:r>
          </w:p>
          <w:p>
            <w:r>
              <w:rPr>
                <w:b/>
                <w:bCs/>
                <w:sz w:val="20"/>
                <w:szCs w:val="20"/>
              </w:rPr>
              <w:t xml:space="preserve">Vorstandsmitglied</w:t>
            </w:r>
          </w:p>
          <w:p>
            <w:r>
              <w:rPr>
                <w:color w:val="1B6E5A"/>
                <w:sz w:val="18"/>
                <w:szCs w:val="18"/>
              </w:rPr>
              <w:t xml:space="preserve">DEGIT AG</w:t>
            </w:r>
            <w:r>
              <w:rPr>
                <w:color w:val="3A2366"/>
                <w:sz w:val="18"/>
                <w:szCs w:val="18"/>
              </w:rPr>
              <w:t xml:space="preserve"> — Mai 2018 - Heute</w:t>
            </w:r>
          </w:p>
          <w:p>
            <w:pPr>
              <w:spacing w:after="100"/>
            </w:pPr>
            <w:r>
              <w:rPr>
                <w:color w:val="3A2366"/>
                <w:sz w:val="18"/>
                <w:szCs w:val="18"/>
              </w:rPr>
              <w:t xml:space="preserve">Hockenheim, Deutschland</w:t>
            </w:r>
          </w:p>
          <w:p>
            <w:pPr>
              <w:pStyle w:val="ListParagraph"/>
              <w:numPr>
                <w:ilvl w:val="0"/>
                <w:numId w:val="1"/>
              </w:numPr>
            </w:pPr>
            <w:r>
              <w:rPr>
                <w:b w:val="false"/>
                <w:bCs w:val="false"/>
                <w:color w:val="07090B"/>
                <w:sz w:val="18"/>
                <w:szCs w:val="18"/>
              </w:rPr>
              <w:t xml:space="preserve">Verantwortung auf Vorstandsebene für Informationssicherheit, Datenschutz und Compliance-Themen.</w:t>
            </w:r>
          </w:p>
          <w:p>
            <w:pPr>
              <w:pStyle w:val="ListParagraph"/>
              <w:numPr>
                <w:ilvl w:val="0"/>
                <w:numId w:val="1"/>
              </w:numPr>
            </w:pPr>
            <w:r>
              <w:rPr>
                <w:b w:val="false"/>
                <w:bCs w:val="false"/>
                <w:color w:val="07090B"/>
                <w:sz w:val="18"/>
                <w:szCs w:val="18"/>
              </w:rPr>
              <w:t xml:space="preserve">Vertrauenswürdiger Ansprechpartner für Security-, Infrastruktur- und regulatorische Anforderungen in Kundenprojekten.</w:t>
            </w:r>
          </w:p>
          <w:p>
            <w:pPr>
              <w:pStyle w:val="ListParagraph"/>
              <w:numPr>
                <w:ilvl w:val="0"/>
                <w:numId w:val="1"/>
              </w:numPr>
            </w:pPr>
            <w:r>
              <w:rPr>
                <w:b w:val="false"/>
                <w:bCs w:val="false"/>
                <w:color w:val="07090B"/>
                <w:sz w:val="18"/>
                <w:szCs w:val="18"/>
              </w:rPr>
              <w:t xml:space="preserve">Beitrag zu sicheren und rechtskonformen IT-Architekturen mit Fokus auf moderne Technologien wie IPv6, Zero Trust und Zero-Config-VPN-Ansätze.</w:t>
            </w:r>
          </w:p>
          <w:p>
            <w:pPr>
              <w:pStyle w:val="ListParagraph"/>
              <w:numPr>
                <w:ilvl w:val="0"/>
                <w:numId w:val="1"/>
              </w:numPr>
            </w:pPr>
            <w:r>
              <w:rPr>
                <w:b w:val="false"/>
                <w:bCs w:val="false"/>
                <w:color w:val="07090B"/>
                <w:sz w:val="18"/>
                <w:szCs w:val="18"/>
              </w:rPr>
              <w:t xml:space="preserve">Verbindung von Governance-Anforderungen mit praktischer technischer Umsetzung in Security- und Infrastrukturinitiativen.</w:t>
            </w:r>
          </w:p>
          <w:p/>
          <w:p>
            <w:r>
              <w:rPr>
                <w:b/>
                <w:bCs/>
                <w:sz w:val="20"/>
                <w:szCs w:val="20"/>
              </w:rPr>
              <w:t xml:space="preserve">Lead Software Engineer – SchlauFabrik Trainingsplattform</w:t>
            </w:r>
          </w:p>
          <w:p>
            <w:r>
              <w:rPr>
                <w:color w:val="1B6E5A"/>
                <w:sz w:val="18"/>
                <w:szCs w:val="18"/>
              </w:rPr>
              <w:t xml:space="preserve">xtensible UG (haftungsbeschränkt) &amp; Co. KG</w:t>
            </w:r>
            <w:r>
              <w:rPr>
                <w:color w:val="3A2366"/>
                <w:sz w:val="18"/>
                <w:szCs w:val="18"/>
              </w:rPr>
              <w:t xml:space="preserve"> — Dezember 2025 - Heute</w:t>
            </w:r>
          </w:p>
          <w:p>
            <w:pPr>
              <w:spacing w:after="100"/>
            </w:pPr>
            <w:r>
              <w:rPr>
                <w:color w:val="3A2366"/>
                <w:sz w:val="18"/>
                <w:szCs w:val="18"/>
              </w:rPr>
              <w:t xml:space="preserve">Hockenheim, Deutschland</w:t>
            </w:r>
          </w:p>
          <w:p>
            <w:pPr>
              <w:pStyle w:val="ListParagraph"/>
              <w:numPr>
                <w:ilvl w:val="0"/>
                <w:numId w:val="1"/>
              </w:numPr>
            </w:pPr>
            <w:r>
              <w:rPr>
                <w:b w:val="false"/>
                <w:bCs w:val="false"/>
                <w:color w:val="07090B"/>
                <w:sz w:val="18"/>
                <w:szCs w:val="18"/>
              </w:rPr>
              <w:t xml:space="preserve">Konzeption, Architektur und Entwicklung einer mandantenfähigen Trainingsplattform für Compliance- und KI-Themen mit rollenbasierter Zugriffskontrolle und klarer Mandantenisolation.</w:t>
            </w:r>
          </w:p>
          <w:p>
            <w:pPr>
              <w:pStyle w:val="ListParagraph"/>
              <w:numPr>
                <w:ilvl w:val="0"/>
                <w:numId w:val="1"/>
              </w:numPr>
            </w:pPr>
            <w:r>
              <w:rPr>
                <w:b w:val="false"/>
                <w:bCs w:val="false"/>
                <w:color w:val="07090B"/>
                <w:sz w:val="18"/>
                <w:szCs w:val="18"/>
              </w:rPr>
              <w:t xml:space="preserve">Umsetzung zentraler Plattformfunktionen wie Kursauslieferung, Fortschrittsverfolgung, Quizze, Zuweisungen sowie Admin-Dashboards für Mandanten- und Benutzerverwaltung.</w:t>
            </w:r>
          </w:p>
          <w:p>
            <w:pPr>
              <w:pStyle w:val="ListParagraph"/>
              <w:numPr>
                <w:ilvl w:val="0"/>
                <w:numId w:val="1"/>
              </w:numPr>
            </w:pPr>
            <w:r>
              <w:rPr>
                <w:b w:val="false"/>
                <w:bCs w:val="false"/>
                <w:color w:val="07090B"/>
                <w:sz w:val="18"/>
                <w:szCs w:val="18"/>
              </w:rPr>
              <w:t xml:space="preserve">Implementierung von Security-by-Design mit Postgres Row-Level Security, Audit-Logs, Rate Limiting sowie gehärteten Authentifizierungsflüssen auf Basis von Passkeys, Magic Links, 2FA und SSO.</w:t>
            </w:r>
          </w:p>
          <w:p>
            <w:pPr>
              <w:pStyle w:val="ListParagraph"/>
              <w:numPr>
                <w:ilvl w:val="0"/>
                <w:numId w:val="1"/>
              </w:numPr>
            </w:pPr>
            <w:r>
              <w:rPr>
                <w:b w:val="false"/>
                <w:bCs w:val="false"/>
                <w:color w:val="07090B"/>
                <w:sz w:val="18"/>
                <w:szCs w:val="18"/>
              </w:rPr>
              <w:t xml:space="preserve">Entwicklung manipulationserschwerter PDF-Zertifikate mit QR-Verifikation, kryptografischem Hashing und Bulk-Export-Funktionen für Audit- und Nachweisprozesse.</w:t>
            </w:r>
          </w:p>
          <w:p>
            <w:pPr>
              <w:pStyle w:val="ListParagraph"/>
              <w:numPr>
                <w:ilvl w:val="0"/>
                <w:numId w:val="1"/>
              </w:numPr>
            </w:pPr>
            <w:r>
              <w:rPr>
                <w:b w:val="false"/>
                <w:bCs w:val="false"/>
                <w:color w:val="07090B"/>
                <w:sz w:val="18"/>
                <w:szCs w:val="18"/>
              </w:rPr>
              <w:t xml:space="preserve">Integration von Stripe-Abrechnung inklusive Subscriptions, Customer Portal und Webhooks sowie Umsetzung mandantenbasierter Lizenzmodelle und Soft-Lock-Mechanismen für Nutzungsgrenzen.</w:t>
            </w:r>
          </w:p>
          <w:p>
            <w:pPr>
              <w:pStyle w:val="ListParagraph"/>
              <w:numPr>
                <w:ilvl w:val="0"/>
                <w:numId w:val="1"/>
              </w:numPr>
            </w:pPr>
            <w:r>
              <w:rPr>
                <w:b w:val="false"/>
                <w:bCs w:val="false"/>
                <w:color w:val="07090B"/>
                <w:sz w:val="18"/>
                <w:szCs w:val="18"/>
              </w:rPr>
              <w:t xml:space="preserve">Technische Umsetzung mit Next.js App Router, TypeScript, Bun, Tailwind, next-intl, Neon Postgres, Resend sowie automatisierten Tests mit Vitest und Playwright.</w:t>
            </w:r>
          </w:p>
          <w:p>
            <w:pPr>
              <w:pStyle w:val="ListParagraph"/>
              <w:numPr>
                <w:ilvl w:val="0"/>
                <w:numId w:val="1"/>
              </w:numPr>
            </w:pPr>
            <w:r>
              <w:rPr>
                <w:b/>
                <w:bCs/>
                <w:color w:val="1B6E5A"/>
                <w:sz w:val="18"/>
                <w:szCs w:val="18"/>
              </w:rPr>
              <w:t xml:space="preserve">Erfolg: Produktionsnahe, mandantenfähige SaaS-Plattform aufgebaut – mit Row-Level Security, Audit-Logs und Stripe-Abrechnung.</w:t>
            </w:r>
          </w:p>
          <w:p>
            <w:pPr>
              <w:pStyle w:val="ListParagraph"/>
              <w:numPr>
                <w:ilvl w:val="0"/>
                <w:numId w:val="1"/>
              </w:numPr>
            </w:pPr>
            <w:r>
              <w:rPr>
                <w:b/>
                <w:bCs/>
                <w:color w:val="1B6E5A"/>
                <w:sz w:val="18"/>
                <w:szCs w:val="18"/>
              </w:rPr>
              <w:t xml:space="preserve">Erfolg: Produktlogik, Compliance-Anforderungen und technische Umsetzung in einer konsistenten Plattformarchitektur verbunden.</w:t>
            </w:r>
          </w:p>
          <w:p/>
          <w:p>
            <w:r>
              <w:rPr>
                <w:b/>
                <w:bCs/>
                <w:sz w:val="20"/>
                <w:szCs w:val="20"/>
              </w:rPr>
              <w:t xml:space="preserve">Gründungsmitglied &amp; Datenschutzbeauftragter</w:t>
            </w:r>
          </w:p>
          <w:p>
            <w:r>
              <w:rPr>
                <w:color w:val="1B6E5A"/>
                <w:sz w:val="18"/>
                <w:szCs w:val="18"/>
              </w:rPr>
              <w:t xml:space="preserve">AKTion gegen Krebs gUG</w:t>
            </w:r>
            <w:r>
              <w:rPr>
                <w:color w:val="3A2366"/>
                <w:sz w:val="18"/>
                <w:szCs w:val="18"/>
              </w:rPr>
              <w:t xml:space="preserve"> — Mai 2025 - Heute</w:t>
            </w:r>
          </w:p>
          <w:p>
            <w:pPr>
              <w:spacing w:after="100"/>
            </w:pPr>
            <w:r>
              <w:rPr>
                <w:color w:val="3A2366"/>
                <w:sz w:val="18"/>
                <w:szCs w:val="18"/>
              </w:rPr>
              <w:t xml:space="preserve">Seevetal, Deutschland</w:t>
            </w:r>
          </w:p>
          <w:p>
            <w:pPr>
              <w:pStyle w:val="ListParagraph"/>
              <w:numPr>
                <w:ilvl w:val="0"/>
                <w:numId w:val="1"/>
              </w:numPr>
            </w:pPr>
            <w:r>
              <w:rPr>
                <w:b w:val="false"/>
                <w:bCs w:val="false"/>
                <w:color w:val="07090B"/>
                <w:sz w:val="18"/>
                <w:szCs w:val="18"/>
              </w:rPr>
              <w:t xml:space="preserve">Gründungsmitglied mit Verantwortung für Datenschutz und DSGVO-Compliance.</w:t>
            </w:r>
          </w:p>
          <w:p>
            <w:pPr>
              <w:pStyle w:val="ListParagraph"/>
              <w:numPr>
                <w:ilvl w:val="0"/>
                <w:numId w:val="1"/>
              </w:numPr>
            </w:pPr>
            <w:r>
              <w:rPr>
                <w:b w:val="false"/>
                <w:bCs w:val="false"/>
                <w:color w:val="07090B"/>
                <w:sz w:val="18"/>
                <w:szCs w:val="18"/>
              </w:rPr>
              <w:t xml:space="preserve">Entwicklung und Betreuung der Backend-Systeme.</w:t>
            </w:r>
          </w:p>
          <w:p>
            <w:pPr>
              <w:pStyle w:val="ListParagraph"/>
              <w:numPr>
                <w:ilvl w:val="0"/>
                <w:numId w:val="1"/>
              </w:numPr>
            </w:pPr>
            <w:r>
              <w:rPr>
                <w:b w:val="false"/>
                <w:bCs w:val="false"/>
                <w:color w:val="07090B"/>
                <w:sz w:val="18"/>
                <w:szCs w:val="18"/>
              </w:rPr>
              <w:t xml:space="preserve">Konzeption und Implementierung KI-gestützter Workflows für die Fallbearbeitung.</w:t>
            </w:r>
          </w:p>
          <w:p>
            <w:pPr>
              <w:pStyle w:val="ListParagraph"/>
              <w:numPr>
                <w:ilvl w:val="0"/>
                <w:numId w:val="1"/>
              </w:numPr>
            </w:pPr>
            <w:r>
              <w:rPr>
                <w:b w:val="false"/>
                <w:bCs w:val="false"/>
                <w:color w:val="07090B"/>
                <w:sz w:val="18"/>
                <w:szCs w:val="18"/>
              </w:rPr>
              <w:t xml:space="preserve">Verantwortlich für IT-Sicherheitsstrategie und Risikomanagement.</w:t>
            </w:r>
          </w:p>
          <w:p>
            <w:pPr>
              <w:pStyle w:val="ListParagraph"/>
              <w:numPr>
                <w:ilvl w:val="0"/>
                <w:numId w:val="1"/>
              </w:numPr>
            </w:pPr>
            <w:r>
              <w:rPr>
                <w:b/>
                <w:bCs/>
                <w:color w:val="1B6E5A"/>
                <w:sz w:val="18"/>
                <w:szCs w:val="18"/>
              </w:rPr>
              <w:t xml:space="preserve">Erfolg: DSGVO-konformen Datenschutzrahmen von Grund auf aufgebaut.</w:t>
            </w:r>
          </w:p>
          <w:p/>
          <w:p>
            <w:r>
              <w:rPr>
                <w:b/>
                <w:bCs/>
                <w:sz w:val="20"/>
                <w:szCs w:val="20"/>
              </w:rPr>
              <w:t xml:space="preserve">KI-Trainingsplattform &amp; Evaluierung von KI-Werkzeugen</w:t>
            </w:r>
          </w:p>
          <w:p>
            <w:r>
              <w:rPr>
                <w:color w:val="1B6E5A"/>
                <w:sz w:val="18"/>
                <w:szCs w:val="18"/>
              </w:rPr>
              <w:t xml:space="preserve">DEGIT AG</w:t>
            </w:r>
            <w:r>
              <w:rPr>
                <w:color w:val="3A2366"/>
                <w:sz w:val="18"/>
                <w:szCs w:val="18"/>
              </w:rPr>
              <w:t xml:space="preserve"> — Aug 2025 – Okt 2025</w:t>
            </w:r>
          </w:p>
          <w:p>
            <w:pPr>
              <w:spacing w:after="100"/>
            </w:pPr>
            <w:r>
              <w:rPr>
                <w:color w:val="3A2366"/>
                <w:sz w:val="18"/>
                <w:szCs w:val="18"/>
              </w:rPr>
              <w:t xml:space="preserve">Hockenheim, Deutschland</w:t>
            </w:r>
          </w:p>
          <w:p>
            <w:pPr>
              <w:pStyle w:val="ListParagraph"/>
              <w:numPr>
                <w:ilvl w:val="0"/>
                <w:numId w:val="1"/>
              </w:numPr>
            </w:pPr>
            <w:r>
              <w:rPr>
                <w:b w:val="false"/>
                <w:bCs w:val="false"/>
                <w:color w:val="07090B"/>
                <w:sz w:val="18"/>
                <w:szCs w:val="18"/>
              </w:rPr>
              <w:t xml:space="preserve">Konzeption und Aufbau einer internen KI-Trainingsplattform für den Unternehmenseinsatz mit Fokus auf EU-AI-Act-Compliance und praxisnahe Befähigung der Teams.</w:t>
            </w:r>
          </w:p>
          <w:p>
            <w:pPr>
              <w:pStyle w:val="ListParagraph"/>
              <w:numPr>
                <w:ilvl w:val="0"/>
                <w:numId w:val="1"/>
              </w:numPr>
            </w:pPr>
            <w:r>
              <w:rPr>
                <w:b w:val="false"/>
                <w:bCs w:val="false"/>
                <w:color w:val="07090B"/>
                <w:sz w:val="18"/>
                <w:szCs w:val="18"/>
              </w:rPr>
              <w:t xml:space="preserve">Evaluierung aufkommender agentischer KI-Workflows zur mehrstufigen Aufgabenorchestrierung und deren Integration in Automatisierungsumgebungen von Unternehmen.</w:t>
            </w:r>
          </w:p>
          <w:p>
            <w:pPr>
              <w:pStyle w:val="ListParagraph"/>
              <w:numPr>
                <w:ilvl w:val="0"/>
                <w:numId w:val="1"/>
              </w:numPr>
            </w:pPr>
            <w:r>
              <w:rPr>
                <w:b/>
                <w:bCs/>
                <w:color w:val="1B6E5A"/>
                <w:sz w:val="18"/>
                <w:szCs w:val="18"/>
              </w:rPr>
              <w:t xml:space="preserve">Erfolg: Zehn KI- und Automatisierungsplattformen analysiert und bewertet: OpenAI ChatGPT, OpenAI Open-Weight GPT-OSS, Microsoft Copilot, Perplexity, Anthropic Claude, Apple Foundation, z.AI GLM, n8n, make.com und Zapier.</w:t>
            </w:r>
          </w:p>
          <w:p>
            <w:pPr>
              <w:pStyle w:val="ListParagraph"/>
              <w:numPr>
                <w:ilvl w:val="0"/>
                <w:numId w:val="1"/>
              </w:numPr>
            </w:pPr>
            <w:r>
              <w:rPr>
                <w:b/>
                <w:bCs/>
                <w:color w:val="1B6E5A"/>
                <w:sz w:val="18"/>
                <w:szCs w:val="18"/>
              </w:rPr>
              <w:t xml:space="preserve">Erfolg: Entscheidungsvorlage erstellt, die führende KI- und Automatisierungsplattformen nach Datenschutz, Zuverlässigkeit, API-Integration und Governance-Tauglichkeit vergleicht.</w:t>
            </w:r>
          </w:p>
          <w:p/>
          <w:p>
            <w:r>
              <w:rPr>
                <w:b/>
                <w:bCs/>
                <w:sz w:val="20"/>
                <w:szCs w:val="20"/>
              </w:rPr>
              <w:t xml:space="preserve">Code-Review &amp; Security-Beratung</w:t>
            </w:r>
          </w:p>
          <w:p>
            <w:r>
              <w:rPr>
                <w:color w:val="1B6E5A"/>
                <w:sz w:val="18"/>
                <w:szCs w:val="18"/>
              </w:rPr>
              <w:t xml:space="preserve">GEHR Datentechnik GmbH</w:t>
            </w:r>
            <w:r>
              <w:rPr>
                <w:color w:val="3A2366"/>
                <w:sz w:val="18"/>
                <w:szCs w:val="18"/>
              </w:rPr>
              <w:t xml:space="preserve"> — Okt 2023</w:t>
            </w:r>
          </w:p>
          <w:p>
            <w:pPr>
              <w:spacing w:after="100"/>
            </w:pPr>
            <w:r>
              <w:rPr>
                <w:color w:val="3A2366"/>
                <w:sz w:val="18"/>
                <w:szCs w:val="18"/>
              </w:rPr>
              <w:t xml:space="preserve">Mannheim, Deutschland</w:t>
            </w:r>
          </w:p>
          <w:p>
            <w:pPr>
              <w:pStyle w:val="ListParagraph"/>
              <w:numPr>
                <w:ilvl w:val="0"/>
                <w:numId w:val="1"/>
              </w:numPr>
            </w:pPr>
            <w:r>
              <w:rPr>
                <w:b w:val="false"/>
                <w:bCs w:val="false"/>
                <w:color w:val="07090B"/>
                <w:sz w:val="18"/>
                <w:szCs w:val="18"/>
              </w:rPr>
              <w:t xml:space="preserve">Umfassendes Code-Review der bestehenden PHP-Anwendung mit strukturierter Bewertung von Findings hoher, mittlerer und niedriger Schwere.</w:t>
            </w:r>
          </w:p>
          <w:p>
            <w:pPr>
              <w:pStyle w:val="ListParagraph"/>
              <w:numPr>
                <w:ilvl w:val="0"/>
                <w:numId w:val="1"/>
              </w:numPr>
            </w:pPr>
            <w:r>
              <w:rPr>
                <w:b/>
                <w:bCs/>
                <w:color w:val="1B6E5A"/>
                <w:sz w:val="18"/>
                <w:szCs w:val="18"/>
              </w:rPr>
              <w:t xml:space="preserve">Erfolg: Ausführliches Review-Papier übergeben: technische Befunde nach Schweregrad, empfohlene Maßnahmen und eine Priorisierung für die Entwicklungsteams.</w:t>
            </w:r>
          </w:p>
          <w:p>
            <w:pPr>
              <w:pStyle w:val="ListParagraph"/>
              <w:numPr>
                <w:ilvl w:val="0"/>
                <w:numId w:val="1"/>
              </w:numPr>
            </w:pPr>
            <w:r>
              <w:rPr>
                <w:b w:val="false"/>
                <w:bCs w:val="false"/>
                <w:color w:val="07090B"/>
                <w:sz w:val="18"/>
                <w:szCs w:val="18"/>
              </w:rPr>
              <w:t xml:space="preserve">Beratung zu Anwendungs- und Infrastruktursicherheit mit Fokus auf praxisnahe Verbesserungen, sichere Coding-Patterns und betriebliches Hardening.</w:t>
            </w:r>
          </w:p>
          <w:p>
            <w:pPr>
              <w:pStyle w:val="ListParagraph"/>
              <w:numPr>
                <w:ilvl w:val="0"/>
                <w:numId w:val="1"/>
              </w:numPr>
            </w:pPr>
            <w:r>
              <w:rPr>
                <w:b w:val="false"/>
                <w:bCs w:val="false"/>
                <w:color w:val="07090B"/>
                <w:sz w:val="18"/>
                <w:szCs w:val="18"/>
              </w:rPr>
              <w:t xml:space="preserve">Unterstützung während der Umsetzung zur Behebung identifizierter Probleme und zur Verbesserung der Gesamtstabilität der Anwendung.</w:t>
            </w:r>
          </w:p>
          <w:p/>
          <w:p>
            <w:pPr>
              <w:pStyle w:val="Heading2"/>
              <w:pBdr>
                <w:bottom w:val="single" w:color="auto" w:sz="6" w:space="1"/>
              </w:pBdr>
            </w:pPr>
            <w:r>
              <w:t xml:space="preserve">Fähigkeiten &amp; Technologien</w:t>
            </w:r>
          </w:p>
          <w:p>
            <w:r>
              <w:rPr>
                <w:b/>
                <w:bCs/>
                <w:sz w:val="20"/>
                <w:szCs w:val="20"/>
              </w:rPr>
              <w:t xml:space="preserve">Sicherheit</w:t>
            </w:r>
          </w:p>
          <w:p>
            <w:r>
              <w:rPr>
                <w:color w:val="1B6E5A"/>
                <w:sz w:val="18"/>
                <w:szCs w:val="18"/>
              </w:rPr>
              <w:t xml:space="preserve">ISO27001</w:t>
            </w:r>
            <w:r>
              <w:rPr>
                <w:color w:val="1B6E5A"/>
                <w:sz w:val="18"/>
                <w:szCs w:val="18"/>
              </w:rPr>
              <w:t xml:space="preserve">, </w:t>
            </w:r>
            <w:r>
              <w:rPr>
                <w:color w:val="1B6E5A"/>
                <w:sz w:val="18"/>
                <w:szCs w:val="18"/>
              </w:rPr>
              <w:t xml:space="preserve">SOC2</w:t>
            </w:r>
            <w:r>
              <w:rPr>
                <w:color w:val="1B6E5A"/>
                <w:sz w:val="18"/>
                <w:szCs w:val="18"/>
              </w:rPr>
              <w:t xml:space="preserve">, </w:t>
            </w:r>
            <w:r>
              <w:rPr>
                <w:color w:val="1B6E5A"/>
                <w:sz w:val="18"/>
                <w:szCs w:val="18"/>
              </w:rPr>
              <w:t xml:space="preserve">DSGVO</w:t>
            </w:r>
            <w:r>
              <w:rPr>
                <w:color w:val="1B6E5A"/>
                <w:sz w:val="18"/>
                <w:szCs w:val="18"/>
              </w:rPr>
              <w:t xml:space="preserve">, </w:t>
            </w:r>
            <w:r>
              <w:rPr>
                <w:color w:val="1B6E5A"/>
                <w:sz w:val="18"/>
                <w:szCs w:val="18"/>
              </w:rPr>
              <w:t xml:space="preserve">MITRE ATT&amp;CK</w:t>
            </w:r>
            <w:r>
              <w:rPr>
                <w:color w:val="1B6E5A"/>
                <w:sz w:val="18"/>
                <w:szCs w:val="18"/>
              </w:rPr>
              <w:t xml:space="preserve">, </w:t>
            </w:r>
            <w:r>
              <w:rPr>
                <w:color w:val="1B6E5A"/>
                <w:sz w:val="18"/>
                <w:szCs w:val="18"/>
              </w:rPr>
              <w:t xml:space="preserve">BSI IT-Grundschutz</w:t>
            </w:r>
            <w:r>
              <w:rPr>
                <w:color w:val="1B6E5A"/>
                <w:sz w:val="18"/>
                <w:szCs w:val="18"/>
              </w:rPr>
              <w:t xml:space="preserve">, </w:t>
            </w:r>
            <w:r>
              <w:rPr>
                <w:color w:val="1B6E5A"/>
                <w:sz w:val="18"/>
                <w:szCs w:val="18"/>
              </w:rPr>
              <w:t xml:space="preserve">Sicherheitsrichtlinien</w:t>
            </w:r>
            <w:r>
              <w:rPr>
                <w:color w:val="1B6E5A"/>
                <w:sz w:val="18"/>
                <w:szCs w:val="18"/>
              </w:rPr>
              <w:t xml:space="preserve">, </w:t>
            </w:r>
            <w:r>
              <w:rPr>
                <w:color w:val="1B6E5A"/>
                <w:sz w:val="18"/>
                <w:szCs w:val="18"/>
              </w:rPr>
              <w:t xml:space="preserve">Vulnerabilitätsmanagement</w:t>
            </w:r>
            <w:r>
              <w:rPr>
                <w:color w:val="1B6E5A"/>
                <w:sz w:val="18"/>
                <w:szCs w:val="18"/>
              </w:rPr>
              <w:t xml:space="preserve">, </w:t>
            </w:r>
            <w:r>
              <w:rPr>
                <w:color w:val="1B6E5A"/>
                <w:sz w:val="18"/>
                <w:szCs w:val="18"/>
              </w:rPr>
              <w:t xml:space="preserve">Incident Response</w:t>
            </w:r>
            <w:r>
              <w:rPr>
                <w:color w:val="1B6E5A"/>
                <w:sz w:val="18"/>
                <w:szCs w:val="18"/>
              </w:rPr>
              <w:t xml:space="preserve">, </w:t>
            </w:r>
            <w:r>
              <w:rPr>
                <w:color w:val="1B6E5A"/>
                <w:sz w:val="18"/>
                <w:szCs w:val="18"/>
              </w:rPr>
              <w:t xml:space="preserve">Penetrationstest-Koordination</w:t>
            </w:r>
          </w:p>
          <w:p>
            <w:r>
              <w:rPr>
                <w:b/>
                <w:bCs/>
                <w:sz w:val="20"/>
                <w:szCs w:val="20"/>
              </w:rPr>
              <w:t xml:space="preserve">Infrastruktur &amp; Plattformen</w:t>
            </w:r>
          </w:p>
          <w:p>
            <w:r>
              <w:rPr>
                <w:color w:val="1B6E5A"/>
                <w:sz w:val="18"/>
                <w:szCs w:val="18"/>
              </w:rPr>
              <w:t xml:space="preserve">Linux: Debian, Ubuntu, RHEL</w:t>
            </w:r>
            <w:r>
              <w:rPr>
                <w:color w:val="1B6E5A"/>
                <w:sz w:val="18"/>
                <w:szCs w:val="18"/>
              </w:rPr>
              <w:t xml:space="preserve">, </w:t>
            </w:r>
            <w:r>
              <w:rPr>
                <w:color w:val="1B6E5A"/>
                <w:sz w:val="18"/>
                <w:szCs w:val="18"/>
              </w:rPr>
              <w:t xml:space="preserve">macOS</w:t>
            </w:r>
            <w:r>
              <w:rPr>
                <w:color w:val="1B6E5A"/>
                <w:sz w:val="18"/>
                <w:szCs w:val="18"/>
              </w:rPr>
              <w:t xml:space="preserve">, </w:t>
            </w:r>
            <w:r>
              <w:rPr>
                <w:color w:val="1B6E5A"/>
                <w:sz w:val="18"/>
                <w:szCs w:val="18"/>
              </w:rPr>
              <w:t xml:space="preserve">Cloudflare</w:t>
            </w:r>
            <w:r>
              <w:rPr>
                <w:color w:val="1B6E5A"/>
                <w:sz w:val="18"/>
                <w:szCs w:val="18"/>
              </w:rPr>
              <w:t xml:space="preserve">, </w:t>
            </w:r>
            <w:r>
              <w:rPr>
                <w:color w:val="1B6E5A"/>
                <w:sz w:val="18"/>
                <w:szCs w:val="18"/>
              </w:rPr>
              <w:t xml:space="preserve">E-Mail</w:t>
            </w:r>
            <w:r>
              <w:rPr>
                <w:color w:val="1B6E5A"/>
                <w:sz w:val="18"/>
                <w:szCs w:val="18"/>
              </w:rPr>
              <w:t xml:space="preserve">, </w:t>
            </w:r>
            <w:r>
              <w:rPr>
                <w:color w:val="1B6E5A"/>
                <w:sz w:val="18"/>
                <w:szCs w:val="18"/>
              </w:rPr>
              <w:t xml:space="preserve">Vercel</w:t>
            </w:r>
            <w:r>
              <w:rPr>
                <w:color w:val="1B6E5A"/>
                <w:sz w:val="18"/>
                <w:szCs w:val="18"/>
              </w:rPr>
              <w:t xml:space="preserve">, </w:t>
            </w:r>
            <w:r>
              <w:rPr>
                <w:color w:val="1B6E5A"/>
                <w:sz w:val="18"/>
                <w:szCs w:val="18"/>
              </w:rPr>
              <w:t xml:space="preserve">Supabase</w:t>
            </w:r>
            <w:r>
              <w:rPr>
                <w:color w:val="1B6E5A"/>
                <w:sz w:val="18"/>
                <w:szCs w:val="18"/>
              </w:rPr>
              <w:t xml:space="preserve">, </w:t>
            </w:r>
            <w:r>
              <w:rPr>
                <w:color w:val="1B6E5A"/>
                <w:sz w:val="18"/>
                <w:szCs w:val="18"/>
              </w:rPr>
              <w:t xml:space="preserve">Neon PostgreSQL</w:t>
            </w:r>
            <w:r>
              <w:rPr>
                <w:color w:val="1B6E5A"/>
                <w:sz w:val="18"/>
                <w:szCs w:val="18"/>
              </w:rPr>
              <w:t xml:space="preserve">, </w:t>
            </w:r>
            <w:r>
              <w:rPr>
                <w:color w:val="1B6E5A"/>
                <w:sz w:val="18"/>
                <w:szCs w:val="18"/>
              </w:rPr>
              <w:t xml:space="preserve">Hochverfügbarkeitssysteme</w:t>
            </w:r>
            <w:r>
              <w:rPr>
                <w:color w:val="1B6E5A"/>
                <w:sz w:val="18"/>
                <w:szCs w:val="18"/>
              </w:rPr>
              <w:t xml:space="preserve">, </w:t>
            </w:r>
            <w:r>
              <w:rPr>
                <w:color w:val="1B6E5A"/>
                <w:sz w:val="18"/>
                <w:szCs w:val="18"/>
              </w:rPr>
              <w:t xml:space="preserve">TCP/IP, DNS, DHCP</w:t>
            </w:r>
            <w:r>
              <w:rPr>
                <w:color w:val="1B6E5A"/>
                <w:sz w:val="18"/>
                <w:szCs w:val="18"/>
              </w:rPr>
              <w:t xml:space="preserve">, </w:t>
            </w:r>
            <w:r>
              <w:rPr>
                <w:color w:val="1B6E5A"/>
                <w:sz w:val="18"/>
                <w:szCs w:val="18"/>
              </w:rPr>
              <w:t xml:space="preserve">IPv6</w:t>
            </w:r>
          </w:p>
          <w:p>
            <w:r>
              <w:rPr>
                <w:b/>
                <w:bCs/>
                <w:sz w:val="20"/>
                <w:szCs w:val="20"/>
              </w:rPr>
              <w:t xml:space="preserve">Tools &amp; DevOps</w:t>
            </w:r>
          </w:p>
          <w:p>
            <w:r>
              <w:rPr>
                <w:color w:val="1B6E5A"/>
                <w:sz w:val="18"/>
                <w:szCs w:val="18"/>
              </w:rPr>
              <w:t xml:space="preserve">Bash / Shell Skripte</w:t>
            </w:r>
            <w:r>
              <w:rPr>
                <w:color w:val="1B6E5A"/>
                <w:sz w:val="18"/>
                <w:szCs w:val="18"/>
              </w:rPr>
              <w:t xml:space="preserve">, </w:t>
            </w:r>
            <w:r>
              <w:rPr>
                <w:color w:val="1B6E5A"/>
                <w:sz w:val="18"/>
                <w:szCs w:val="18"/>
              </w:rPr>
              <w:t xml:space="preserve">Git</w:t>
            </w:r>
            <w:r>
              <w:rPr>
                <w:color w:val="1B6E5A"/>
                <w:sz w:val="18"/>
                <w:szCs w:val="18"/>
              </w:rPr>
              <w:t xml:space="preserve">, </w:t>
            </w:r>
            <w:r>
              <w:rPr>
                <w:color w:val="1B6E5A"/>
                <w:sz w:val="18"/>
                <w:szCs w:val="18"/>
              </w:rPr>
              <w:t xml:space="preserve">Codex</w:t>
            </w:r>
            <w:r>
              <w:rPr>
                <w:color w:val="1B6E5A"/>
                <w:sz w:val="18"/>
                <w:szCs w:val="18"/>
              </w:rPr>
              <w:t xml:space="preserve">, </w:t>
            </w:r>
            <w:r>
              <w:rPr>
                <w:color w:val="1B6E5A"/>
                <w:sz w:val="18"/>
                <w:szCs w:val="18"/>
              </w:rPr>
              <w:t xml:space="preserve">Claude Code</w:t>
            </w:r>
            <w:r>
              <w:rPr>
                <w:color w:val="1B6E5A"/>
                <w:sz w:val="18"/>
                <w:szCs w:val="18"/>
              </w:rPr>
              <w:t xml:space="preserve">, </w:t>
            </w:r>
            <w:r>
              <w:rPr>
                <w:color w:val="1B6E5A"/>
                <w:sz w:val="18"/>
                <w:szCs w:val="18"/>
              </w:rPr>
              <w:t xml:space="preserve">Python</w:t>
            </w:r>
            <w:r>
              <w:rPr>
                <w:color w:val="1B6E5A"/>
                <w:sz w:val="18"/>
                <w:szCs w:val="18"/>
              </w:rPr>
              <w:t xml:space="preserve">, </w:t>
            </w:r>
            <w:r>
              <w:rPr>
                <w:color w:val="1B6E5A"/>
                <w:sz w:val="18"/>
                <w:szCs w:val="18"/>
              </w:rPr>
              <w:t xml:space="preserve">Postfix / Dovecot</w:t>
            </w:r>
            <w:r>
              <w:rPr>
                <w:color w:val="1B6E5A"/>
                <w:sz w:val="18"/>
                <w:szCs w:val="18"/>
              </w:rPr>
              <w:t xml:space="preserve">, </w:t>
            </w:r>
            <w:r>
              <w:rPr>
                <w:color w:val="1B6E5A"/>
                <w:sz w:val="18"/>
                <w:szCs w:val="18"/>
              </w:rPr>
              <w:t xml:space="preserve">Bind / Unbound</w:t>
            </w:r>
            <w:r>
              <w:rPr>
                <w:color w:val="1B6E5A"/>
                <w:sz w:val="18"/>
                <w:szCs w:val="18"/>
              </w:rPr>
              <w:t xml:space="preserve">, </w:t>
            </w:r>
            <w:r>
              <w:rPr>
                <w:color w:val="1B6E5A"/>
                <w:sz w:val="18"/>
                <w:szCs w:val="18"/>
              </w:rPr>
              <w:t xml:space="preserve">Squid Proxy</w:t>
            </w:r>
            <w:r>
              <w:rPr>
                <w:color w:val="1B6E5A"/>
                <w:sz w:val="18"/>
                <w:szCs w:val="18"/>
              </w:rPr>
              <w:t xml:space="preserve">, </w:t>
            </w:r>
            <w:r>
              <w:rPr>
                <w:color w:val="1B6E5A"/>
                <w:sz w:val="18"/>
                <w:szCs w:val="18"/>
              </w:rPr>
              <w:t xml:space="preserve">HAProxy</w:t>
            </w:r>
            <w:r>
              <w:rPr>
                <w:color w:val="1B6E5A"/>
                <w:sz w:val="18"/>
                <w:szCs w:val="18"/>
              </w:rPr>
              <w:t xml:space="preserve">, </w:t>
            </w:r>
            <w:r>
              <w:rPr>
                <w:color w:val="1B6E5A"/>
                <w:sz w:val="18"/>
                <w:szCs w:val="18"/>
              </w:rPr>
              <w:t xml:space="preserve">Caddy</w:t>
            </w:r>
          </w:p>
          <w:p>
            <w:r>
              <w:rPr>
                <w:b/>
                <w:bCs/>
                <w:sz w:val="20"/>
                <w:szCs w:val="20"/>
              </w:rPr>
              <w:t xml:space="preserve">Architektur &amp; Führung</w:t>
            </w:r>
          </w:p>
          <w:p>
            <w:r>
              <w:rPr>
                <w:color w:val="1B6E5A"/>
                <w:sz w:val="18"/>
                <w:szCs w:val="18"/>
              </w:rPr>
              <w:t xml:space="preserve">Software-Architektur</w:t>
            </w:r>
            <w:r>
              <w:rPr>
                <w:color w:val="1B6E5A"/>
                <w:sz w:val="18"/>
                <w:szCs w:val="18"/>
              </w:rPr>
              <w:t xml:space="preserve">, </w:t>
            </w:r>
            <w:r>
              <w:rPr>
                <w:color w:val="1B6E5A"/>
                <w:sz w:val="18"/>
                <w:szCs w:val="18"/>
              </w:rPr>
              <w:t xml:space="preserve">Plattformarchitektur</w:t>
            </w:r>
            <w:r>
              <w:rPr>
                <w:color w:val="1B6E5A"/>
                <w:sz w:val="18"/>
                <w:szCs w:val="18"/>
              </w:rPr>
              <w:t xml:space="preserve">, </w:t>
            </w:r>
            <w:r>
              <w:rPr>
                <w:color w:val="1B6E5A"/>
                <w:sz w:val="18"/>
                <w:szCs w:val="18"/>
              </w:rPr>
              <w:t xml:space="preserve">Infrastrukturarchitektur</w:t>
            </w:r>
            <w:r>
              <w:rPr>
                <w:color w:val="1B6E5A"/>
                <w:sz w:val="18"/>
                <w:szCs w:val="18"/>
              </w:rPr>
              <w:t xml:space="preserve">, </w:t>
            </w:r>
            <w:r>
              <w:rPr>
                <w:color w:val="1B6E5A"/>
                <w:sz w:val="18"/>
                <w:szCs w:val="18"/>
              </w:rPr>
              <w:t xml:space="preserve">Technische Führung</w:t>
            </w:r>
            <w:r>
              <w:rPr>
                <w:color w:val="1B6E5A"/>
                <w:sz w:val="18"/>
                <w:szCs w:val="18"/>
              </w:rPr>
              <w:t xml:space="preserve">, </w:t>
            </w:r>
            <w:r>
              <w:rPr>
                <w:color w:val="1B6E5A"/>
                <w:sz w:val="18"/>
                <w:szCs w:val="18"/>
              </w:rPr>
              <w:t xml:space="preserve">Teamleitung</w:t>
            </w:r>
            <w:r>
              <w:rPr>
                <w:color w:val="1B6E5A"/>
                <w:sz w:val="18"/>
                <w:szCs w:val="18"/>
              </w:rPr>
              <w:t xml:space="preserve">, </w:t>
            </w:r>
            <w:r>
              <w:rPr>
                <w:color w:val="1B6E5A"/>
                <w:sz w:val="18"/>
                <w:szCs w:val="18"/>
              </w:rPr>
              <w:t xml:space="preserve">Technische Konzepte</w:t>
            </w:r>
            <w:r>
              <w:rPr>
                <w:color w:val="1B6E5A"/>
                <w:sz w:val="18"/>
                <w:szCs w:val="18"/>
              </w:rPr>
              <w:t xml:space="preserve">, </w:t>
            </w:r>
            <w:r>
              <w:rPr>
                <w:color w:val="1B6E5A"/>
                <w:sz w:val="18"/>
                <w:szCs w:val="18"/>
              </w:rPr>
              <w:t xml:space="preserve">Delivery-Struktur</w:t>
            </w:r>
          </w:p>
          <w:p>
            <w:r>
              <w:rPr>
                <w:b/>
                <w:bCs/>
                <w:sz w:val="20"/>
                <w:szCs w:val="20"/>
              </w:rPr>
              <w:t xml:space="preserve">KI</w:t>
            </w:r>
          </w:p>
          <w:p>
            <w:r>
              <w:rPr>
                <w:color w:val="1B6E5A"/>
                <w:sz w:val="18"/>
                <w:szCs w:val="18"/>
              </w:rPr>
              <w:t xml:space="preserve">KI-Workflows</w:t>
            </w:r>
            <w:r>
              <w:rPr>
                <w:color w:val="1B6E5A"/>
                <w:sz w:val="18"/>
                <w:szCs w:val="18"/>
              </w:rPr>
              <w:t xml:space="preserve">, </w:t>
            </w:r>
            <w:r>
              <w:rPr>
                <w:color w:val="1B6E5A"/>
                <w:sz w:val="18"/>
                <w:szCs w:val="18"/>
              </w:rPr>
              <w:t xml:space="preserve">Agentische KI</w:t>
            </w:r>
            <w:r>
              <w:rPr>
                <w:color w:val="1B6E5A"/>
                <w:sz w:val="18"/>
                <w:szCs w:val="18"/>
              </w:rPr>
              <w:t xml:space="preserve">, </w:t>
            </w:r>
            <w:r>
              <w:rPr>
                <w:color w:val="1B6E5A"/>
                <w:sz w:val="18"/>
                <w:szCs w:val="18"/>
              </w:rPr>
              <w:t xml:space="preserve">Evaluierung von KI-Werkzeugen</w:t>
            </w:r>
            <w:r>
              <w:rPr>
                <w:color w:val="1B6E5A"/>
                <w:sz w:val="18"/>
                <w:szCs w:val="18"/>
              </w:rPr>
              <w:t xml:space="preserve">, </w:t>
            </w:r>
            <w:r>
              <w:rPr>
                <w:color w:val="1B6E5A"/>
                <w:sz w:val="18"/>
                <w:szCs w:val="18"/>
              </w:rPr>
              <w:t xml:space="preserve">KI-Trainingsplattformen</w:t>
            </w:r>
            <w:r>
              <w:rPr>
                <w:color w:val="1B6E5A"/>
                <w:sz w:val="18"/>
                <w:szCs w:val="18"/>
              </w:rPr>
              <w:t xml:space="preserve">, </w:t>
            </w:r>
            <w:r>
              <w:rPr>
                <w:color w:val="1B6E5A"/>
                <w:sz w:val="18"/>
                <w:szCs w:val="18"/>
              </w:rPr>
              <w:t xml:space="preserve">Prompt Engineering</w:t>
            </w:r>
            <w:r>
              <w:rPr>
                <w:color w:val="1B6E5A"/>
                <w:sz w:val="18"/>
                <w:szCs w:val="18"/>
              </w:rPr>
              <w:t xml:space="preserve">, </w:t>
            </w:r>
            <w:r>
              <w:rPr>
                <w:color w:val="1B6E5A"/>
                <w:sz w:val="18"/>
                <w:szCs w:val="18"/>
              </w:rPr>
              <w:t xml:space="preserve">Multimodale KI</w:t>
            </w:r>
            <w:r>
              <w:rPr>
                <w:color w:val="1B6E5A"/>
                <w:sz w:val="18"/>
                <w:szCs w:val="18"/>
              </w:rPr>
              <w:t xml:space="preserve">, </w:t>
            </w:r>
            <w:r>
              <w:rPr>
                <w:color w:val="1B6E5A"/>
                <w:sz w:val="18"/>
                <w:szCs w:val="18"/>
              </w:rPr>
              <w:t xml:space="preserve">Kausale KI</w:t>
            </w:r>
            <w:r>
              <w:rPr>
                <w:color w:val="1B6E5A"/>
                <w:sz w:val="18"/>
                <w:szCs w:val="18"/>
              </w:rPr>
              <w:t xml:space="preserve">, </w:t>
            </w:r>
            <w:r>
              <w:rPr>
                <w:color w:val="1B6E5A"/>
                <w:sz w:val="18"/>
                <w:szCs w:val="18"/>
              </w:rPr>
              <w:t xml:space="preserve">OpenAI / ChatGPT</w:t>
            </w:r>
            <w:r>
              <w:rPr>
                <w:color w:val="1B6E5A"/>
                <w:sz w:val="18"/>
                <w:szCs w:val="18"/>
              </w:rPr>
              <w:t xml:space="preserve">, </w:t>
            </w:r>
            <w:r>
              <w:rPr>
                <w:color w:val="1B6E5A"/>
                <w:sz w:val="18"/>
                <w:szCs w:val="18"/>
              </w:rPr>
              <w:t xml:space="preserve">Anthropic / Claude</w:t>
            </w:r>
            <w:r>
              <w:rPr>
                <w:color w:val="1B6E5A"/>
                <w:sz w:val="18"/>
                <w:szCs w:val="18"/>
              </w:rPr>
              <w:t xml:space="preserve">, </w:t>
            </w:r>
            <w:r>
              <w:rPr>
                <w:color w:val="1B6E5A"/>
                <w:sz w:val="18"/>
                <w:szCs w:val="18"/>
              </w:rPr>
              <w:t xml:space="preserve">Google / Gemini</w:t>
            </w:r>
          </w:p>
          <w:p>
            <w:pPr>
              <w:pStyle w:val="Heading2"/>
              <w:pBdr>
                <w:bottom w:val="single" w:color="auto" w:sz="6" w:space="1"/>
              </w:pBdr>
            </w:pPr>
            <w:r>
              <w:t xml:space="preserve">Entwickelte Lösungen</w:t>
            </w:r>
          </w:p>
          <w:p>
            <w:r>
              <w:rPr>
                <w:b/>
                <w:bCs/>
                <w:sz w:val="20"/>
                <w:szCs w:val="20"/>
              </w:rPr>
              <w:t xml:space="preserve">Schulungsplattform zum EU AI Act</w:t>
            </w:r>
          </w:p>
          <w:p>
            <w:pPr>
              <w:spacing w:after="100"/>
            </w:pPr>
            <w:r>
              <w:rPr>
                <w:sz w:val="18"/>
                <w:szCs w:val="18"/>
              </w:rPr>
              <w:t xml:space="preserve">Konzeption und Aufbau einer modularen Schulungsplattform zum EU-Gesetz über Künstliche Intelligenz (EU AI Act). Der Kurs vermittelt in klar strukturierten Lerneinheiten mit interaktiven Folien, Audiokommentaren und integrierten Quizfragen ein fundiertes Verständnis zu Geltungsbereich, risikobasiertem Ansatz und Compliance-Auswirkungen. Die Plattform umfasst fünf Sektionen – von den Grundlagen über Governance und Risikokategorien bis hin zu Praxisanwendungen – und wurde so entwickelt, dass sie zukünftig um weitere Module zu Datenschutz, ethischer KI und technischen Umsetzungsvorgaben erweitert werden kann.</w:t>
            </w:r>
          </w:p>
          <w:p/>
          <w:p>
            <w:r>
              <w:rPr>
                <w:b/>
                <w:bCs/>
                <w:sz w:val="20"/>
                <w:szCs w:val="20"/>
              </w:rPr>
              <w:t xml:space="preserve">Rechtssicheres E-Mail-Archiv</w:t>
            </w:r>
          </w:p>
          <w:p>
            <w:pPr>
              <w:spacing w:after="100"/>
            </w:pPr>
            <w:r>
              <w:rPr>
                <w:sz w:val="18"/>
                <w:szCs w:val="18"/>
              </w:rPr>
              <w:t xml:space="preserve">Architektur, Design und Implementierung einer rechtssicheren unternehmensweiten E-Mail-Archivierungslösung für mehr als 50.000 Nutzer. Das System gewährleistet die unveränderbare Aufbewahrung sämtlicher Kommunikation über mehr als 10 Jahre und erfüllt strenge regulatorische sowie prüfungsrelevante Anforderungen. Basierend auf Open-Source-Technologien wurde das Archiv auf Skalierbarkeit, Redundanz und langfristige Wartbarkeit ausgelegt. Integriertes Monitoring, Indexierung und Volltextsuche ermöglichen ein effizientes Auffinden historischer Korrespondenz.</w:t>
            </w:r>
          </w:p>
          <w:p/>
          <w:p>
            <w:r>
              <w:rPr>
                <w:b/>
                <w:bCs/>
                <w:sz w:val="20"/>
                <w:szCs w:val="20"/>
              </w:rPr>
              <w:t xml:space="preserve">KI-unterstützte Fallbearbeitung</w:t>
            </w:r>
          </w:p>
          <w:p>
            <w:pPr>
              <w:spacing w:after="100"/>
            </w:pPr>
            <w:r>
              <w:rPr>
                <w:sz w:val="18"/>
                <w:szCs w:val="18"/>
              </w:rPr>
              <w:t xml:space="preserve">Konzeption und Implementierung eines Systems zur Unterstützung der Bearbeitung krebsbezogener Fälle mit KI. Die Plattform integriert sichere Datenverarbeitung, strukturierte Workflows und KI-basierte Assistenz, um Fälle zu priorisieren, zu analysieren und die Fallbearbeitung zu optimieren. Dadurch werden schnellere Reaktionszeiten und eine verbesserte Qualität im Umgang mit sensiblen medizinischen und juristischen Informationen gewährleistet.</w:t>
            </w:r>
          </w:p>
          <w:p/>
          <w:p>
            <w:r>
              <w:rPr>
                <w:b/>
                <w:bCs/>
                <w:sz w:val="20"/>
                <w:szCs w:val="20"/>
              </w:rPr>
              <w:t xml:space="preserve">Zertifizierung nach SOC 2 &amp; ISO 27001</w:t>
            </w:r>
          </w:p>
          <w:p>
            <w:pPr>
              <w:spacing w:after="100"/>
            </w:pPr>
            <w:r>
              <w:rPr>
                <w:sz w:val="18"/>
                <w:szCs w:val="18"/>
              </w:rPr>
              <w:t xml:space="preserve">Umsetzung der Anforderungen aus SOC 2 und ISO 27001 durch Einführung von Informationssicherheitsrichtlinien, Kontrollen und Nachweisstrukturen im Einklang mit Audit- und Zertifizierungsanforderungen.</w:t>
            </w:r>
          </w:p>
          <w:p/>
          <w:p>
            <w:r>
              <w:rPr>
                <w:b/>
                <w:bCs/>
                <w:sz w:val="20"/>
                <w:szCs w:val="20"/>
              </w:rPr>
              <w:t xml:space="preserve">Zero-Config-VPN-Netz auf IPv6-Basis</w:t>
            </w:r>
          </w:p>
          <w:p>
            <w:pPr>
              <w:spacing w:after="100"/>
            </w:pPr>
            <w:r>
              <w:rPr>
                <w:sz w:val="18"/>
                <w:szCs w:val="18"/>
              </w:rPr>
              <w:t xml:space="preserve">Konzeption und Aufbau eines sicheren Zero-Config-VPN-Netzes auf Basis von IPv6 als Fundament für weltweite Konnektivität. Die Lösung ermöglicht nahtlose Peer-to-Peer-Kommunikation ohne manuelle Einrichtung, NAT-Traversal oder komplexe Provisionierung, bei gleichzeitig starker Verschlüsselung und modernen Authentifizierungsmechanismen. Durch die Kombination von einfachen Regeln mit erweiterten Sicherheitskontrollen entsteht eine widerstandsfähige, skalierbare und datenschutzfreundliche Netzwerkarchitektur für verteilte Umgebungen.</w:t>
            </w:r>
          </w:p>
          <w:p/>
          <w:p>
            <w:r>
              <w:rPr>
                <w:b/>
                <w:bCs/>
                <w:sz w:val="20"/>
                <w:szCs w:val="20"/>
              </w:rPr>
              <w:t xml:space="preserve">Modernisierung der Backup-Infrastruktur mit Rubrik</w:t>
            </w:r>
          </w:p>
          <w:p>
            <w:pPr>
              <w:spacing w:after="100"/>
            </w:pPr>
            <w:r>
              <w:rPr>
                <w:sz w:val="18"/>
                <w:szCs w:val="18"/>
              </w:rPr>
              <w:t xml:space="preserve">Modernisierung der bestehenden Backup-Infrastruktur durch Einführung der Enterprise-Backup-Lösung von Rubrik – für besseren Datenschutz, kürzere Wiederherstellungszeiten und eine einfachere Verwaltung hybrider Umgebungen.</w:t>
            </w:r>
          </w:p>
          <w:p/>
          <w:p>
            <w:r>
              <w:rPr>
                <w:b/>
                <w:bCs/>
                <w:sz w:val="20"/>
                <w:szCs w:val="20"/>
              </w:rPr>
              <w:t xml:space="preserve">Automatisierte Dokumentenverwaltung mit OCR und KI-Kategorisierung</w:t>
            </w:r>
          </w:p>
          <w:p>
            <w:pPr>
              <w:spacing w:after="100"/>
            </w:pPr>
            <w:r>
              <w:rPr>
                <w:sz w:val="18"/>
                <w:szCs w:val="18"/>
              </w:rPr>
              <w:t xml:space="preserve">Entwicklung eines privaten Systems zur Digitalisierung aller persönlichen Dokumente und Briefe mittels OCR-Technologie. Integration einer KI-gestützten Klassifizierung zur automatischen Sortierung der Dokumente in vordefinierte Kategorien für effizientes Suchen, Auffinden und Archivieren. Zusätzlich wurde eine automatisierte Auswertung implementiert, um für die Einkommensteuer relevante Dokumente zu erkennen und entsprechend zu verschlagworten.</w:t>
            </w:r>
          </w:p>
          <w:p/>
        </w:tc>
      </w:tr>
    </w:tbl>
    <w:sectPr>
      <w:footerReference w:type="default" r:id="rId6"/>
      <w:pgSz w:w="11906" w:h="16838"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A2366"/>
        <w:sz w:val="16"/>
        <w:szCs w:val="16"/>
      </w:rPr>
      <w:t xml:space="preserve">Seite </w:t>
    </w:r>
    <w:r>
      <w:fldChar w:fldCharType="begin"/>
      <w:instrText xml:space="preserve">PAGE</w:instrText>
      <w:fldChar w:fldCharType="separate"/>
      <w:fldChar w:fldCharType="end"/>
    </w:r>
    <w:r>
      <w:rPr>
        <w:color w:val="3A2366"/>
        <w:sz w:val="16"/>
        <w:szCs w:val="16"/>
      </w:rPr>
      <w:t xml:space="preserve"> von </w:t>
    </w:r>
    <w:r>
      <w:fldChar w:fldCharType="begin"/>
      <w:instrText xml:space="preserve">NUMPAGES</w:instrText>
      <w:fldChar w:fldCharType="separate"/>
      <w:fldChar w:fldCharType="end"/>
    </w:r>
    <w:r>
      <w:rPr>
        <w:color w:val="3A2366"/>
        <w:sz w:val="16"/>
        <w:szCs w:val="16"/>
      </w:rPr>
      <w:t xml:space="preserve"> | </w:t>
    </w:r>
    <w:r>
      <w:rPr>
        <w:color w:val="3A2366"/>
        <w:sz w:val="16"/>
        <w:szCs w:val="16"/>
      </w:rPr>
      <w:t xml:space="preserve">Letztes Update: </w:t>
    </w:r>
    <w:r>
      <w:rPr>
        <w:color w:val="3A2366"/>
        <w:sz w:val="16"/>
        <w:szCs w:val="16"/>
      </w:rPr>
      <w:t xml:space="preserve">Oktober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rPr>
      <w:rFonts w:ascii="Public Sans" w:cs="Public Sans" w:eastAsia="Public Sans" w:hAnsi="Public Sans"/>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f01c30e54f2aa613f880aaa35be2554be430961.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Uwe Schwarz</dc:title>
  <dc:creator>Uwe Schwarz</dc:creator>
  <dc:description>CV von Uwe Schwarz</dc:description>
  <cp:lastModifiedBy>Un-named</cp:lastModifiedBy>
  <cp:revision>1</cp:revision>
  <dcterms:created xsi:type="dcterms:W3CDTF">2026-10-16T20:42:13.261Z</dcterms:created>
  <dcterms:modified xsi:type="dcterms:W3CDTF">2026-10-16T20:42:13.261Z</dcterms:modified>
</cp:coreProperties>
</file>

<file path=docProps/custom.xml><?xml version="1.0" encoding="utf-8"?>
<Properties xmlns="http://schemas.openxmlformats.org/officeDocument/2006/custom-properties" xmlns:vt="http://schemas.openxmlformats.org/officeDocument/2006/docPropsVTypes"/>
</file>