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Program Lead IPv6 Migration</w:t>
            </w:r>
          </w:p>
          <w:p>
            <w:r>
              <w:rPr>
                <w:color w:val="1B6E5A"/>
                <w:sz w:val="18"/>
                <w:szCs w:val="18"/>
              </w:rPr>
              <w:t xml:space="preserve">Deutsche Rentenversicherung (RP, BW)</w:t>
            </w:r>
            <w:r>
              <w:rPr>
                <w:color w:val="3A2366"/>
                <w:sz w:val="18"/>
                <w:szCs w:val="18"/>
              </w:rPr>
              <w:t xml:space="preserve"> — Jan 2026 - Today</w:t>
            </w:r>
          </w:p>
          <w:p>
            <w:pPr>
              <w:spacing w:after="100"/>
            </w:pPr>
            <w:r>
              <w:rPr>
                <w:color w:val="3A2366"/>
                <w:sz w:val="18"/>
                <w:szCs w:val="18"/>
              </w:rPr>
              <w:t xml:space="preserve">Karlsruhe &amp; Speyer, Germany</w:t>
            </w:r>
          </w:p>
          <w:p>
            <w:pPr>
              <w:pStyle w:val="ListParagraph"/>
              <w:numPr>
                <w:ilvl w:val="0"/>
                <w:numId w:val="1"/>
              </w:numPr>
            </w:pPr>
            <w:r>
              <w:rPr>
                <w:b w:val="false"/>
                <w:bCs w:val="false"/>
                <w:color w:val="07090B"/>
                <w:sz w:val="18"/>
                <w:szCs w:val="18"/>
              </w:rPr>
              <w:t xml:space="preserve">Leading the IPv6 migration for DRV RP, and DRV BW, including governance, planning cadence, and execution tracking.</w:t>
            </w:r>
          </w:p>
          <w:p>
            <w:pPr>
              <w:pStyle w:val="ListParagraph"/>
              <w:numPr>
                <w:ilvl w:val="0"/>
                <w:numId w:val="1"/>
              </w:numPr>
            </w:pPr>
            <w:r>
              <w:rPr>
                <w:b w:val="false"/>
                <w:bCs w:val="false"/>
                <w:color w:val="07090B"/>
                <w:sz w:val="18"/>
                <w:szCs w:val="18"/>
              </w:rPr>
              <w:t xml:space="preserve">Built and operationalized a project control model with dashboard, action board, KPI portfolio, risk register, and decision index.</w:t>
            </w:r>
          </w:p>
          <w:p>
            <w:pPr>
              <w:pStyle w:val="ListParagraph"/>
              <w:numPr>
                <w:ilvl w:val="0"/>
                <w:numId w:val="1"/>
              </w:numPr>
            </w:pPr>
            <w:r>
              <w:rPr>
                <w:b w:val="false"/>
                <w:bCs w:val="false"/>
                <w:color w:val="07090B"/>
                <w:sz w:val="18"/>
                <w:szCs w:val="18"/>
              </w:rPr>
              <w:t xml:space="preserve">Coordinating architecture, security, and rollout preparation across addressing, segmentation, dual-stack transition, test-lab planning, and cross-team dependencies.</w:t>
            </w:r>
          </w:p>
          <w:p>
            <w:pPr>
              <w:pStyle w:val="ListParagraph"/>
              <w:numPr>
                <w:ilvl w:val="0"/>
                <w:numId w:val="1"/>
              </w:numPr>
            </w:pPr>
            <w:r>
              <w:rPr>
                <w:b w:val="false"/>
                <w:bCs w:val="false"/>
                <w:color w:val="07090B"/>
                <w:sz w:val="18"/>
                <w:szCs w:val="18"/>
              </w:rPr>
              <w:t xml:space="preserve">Driving compliance-relevant alignment for BSI, NIS2, and critical infrastructure requirements, evidence obligations, and transparent reporting to management and stakeholder groups within the institution.</w:t>
            </w:r>
          </w:p>
          <w:p>
            <w:pPr>
              <w:pStyle w:val="ListParagraph"/>
              <w:numPr>
                <w:ilvl w:val="0"/>
                <w:numId w:val="1"/>
              </w:numPr>
            </w:pPr>
            <w:r>
              <w:rPr>
                <w:b/>
                <w:bCs/>
                <w:color w:val="1B6E5A"/>
                <w:sz w:val="18"/>
                <w:szCs w:val="18"/>
              </w:rPr>
              <w:t xml:space="preserve">Achievement: Established a reusable intake-to-governance workflow to create traceable actions, risks, questions, and evidence requests.</w:t>
            </w:r>
          </w:p>
          <w:p>
            <w:pPr>
              <w:pStyle w:val="ListParagraph"/>
              <w:numPr>
                <w:ilvl w:val="0"/>
                <w:numId w:val="1"/>
              </w:numPr>
            </w:pPr>
            <w:r>
              <w:rPr>
                <w:b/>
                <w:bCs/>
                <w:color w:val="1B6E5A"/>
                <w:sz w:val="18"/>
                <w:szCs w:val="18"/>
              </w:rPr>
              <w:t xml:space="preserve">Achievement: Created the operational baseline for program execution with measurable KPIs, ownership clarity, and decision transparency.</w:t>
            </w:r>
          </w:p>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of vulnerability and incident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 and security oversight for application and network migrations.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Analysis, troubleshooting and sustainable remediation in email infrastructures.</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Sub-project lead: data centre relocation including migration and rebuild of applications and server infrastructures into redundant, highly available environments.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SchlauFabrik – Multi-tenant Compliance &amp; AI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2026-02-20T07:32:41.674Z</dcterms:created>
  <dcterms:modified xsi:type="dcterms:W3CDTF">2026-02-20T07:32:41.674Z</dcterms:modified>
</cp:coreProperties>
</file>

<file path=docProps/custom.xml><?xml version="1.0" encoding="utf-8"?>
<Properties xmlns="http://schemas.openxmlformats.org/officeDocument/2006/custom-properties" xmlns:vt="http://schemas.openxmlformats.org/officeDocument/2006/docPropsVTypes"/>
</file>