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Leitung der IPv6-Migration für DRV RP und DRV BW inklusive Governance, Planungsrhythmus und Umsetzungssteuerung.</w:t>
            </w:r>
          </w:p>
          <w:p>
            <w:pPr>
              <w:pStyle w:val="ListParagraph"/>
              <w:numPr>
                <w:ilvl w:val="0"/>
                <w:numId w:val="1"/>
              </w:numPr>
            </w:pPr>
            <w:r>
              <w:rPr>
                <w:b w:val="false"/>
                <w:bCs w:val="false"/>
                <w:color w:val="07090B"/>
                <w:sz w:val="18"/>
                <w:szCs w:val="18"/>
              </w:rPr>
              <w:t xml:space="preserve">Aufbau und operative Einführung eines Projektsteuerungsmodells mit Dashboard, Action Board, KPI-Portfolio, Risikoregister und Entscheidungsindex.</w:t>
            </w:r>
          </w:p>
          <w:p>
            <w:pPr>
              <w:pStyle w:val="ListParagraph"/>
              <w:numPr>
                <w:ilvl w:val="0"/>
                <w:numId w:val="1"/>
              </w:numPr>
            </w:pPr>
            <w:r>
              <w:rPr>
                <w:b w:val="false"/>
                <w:bCs w:val="false"/>
                <w:color w:val="07090B"/>
                <w:sz w:val="18"/>
                <w:szCs w:val="18"/>
              </w:rPr>
              <w:t xml:space="preserve">Koordination der Architektur-, Sicherheits- und Rollout-Vorbereitung über Adressierung, Segmentierung, Dual-Stack-Übergang, Testlabor-Planung und teamübergreifende Abhängigkeiten hinweg.</w:t>
            </w:r>
          </w:p>
          <w:p>
            <w:pPr>
              <w:pStyle w:val="ListParagraph"/>
              <w:numPr>
                <w:ilvl w:val="0"/>
                <w:numId w:val="1"/>
              </w:numPr>
            </w:pPr>
            <w:r>
              <w:rPr>
                <w:b w:val="false"/>
                <w:bCs w:val="false"/>
                <w:color w:val="07090B"/>
                <w:sz w:val="18"/>
                <w:szCs w:val="18"/>
              </w:rPr>
              <w:t xml:space="preserve">Steuerung der compliance-relevanten Abstimmung zu BSI-, NIS2- und KRITIS-Anforderungen, Evidence-Pflicht und transparentem Reporting an Management und Stakeholder beim Träger.</w:t>
            </w:r>
          </w:p>
          <w:p>
            <w:pPr>
              <w:pStyle w:val="ListParagraph"/>
              <w:numPr>
                <w:ilvl w:val="0"/>
                <w:numId w:val="1"/>
              </w:numPr>
            </w:pPr>
            <w:r>
              <w:rPr>
                <w:b/>
                <w:bCs/>
                <w:color w:val="1B6E5A"/>
                <w:sz w:val="18"/>
                <w:szCs w:val="18"/>
              </w:rPr>
              <w:t xml:space="preserve">Erfolg: Etablierung eines wiederverwendbaren Intake-to-Governance-Workflows, um nachvollziehbare Actions, Risiken, offene Fragen und Nachweisanfragen zu erstellen.</w:t>
            </w:r>
          </w:p>
          <w:p>
            <w:pPr>
              <w:pStyle w:val="ListParagraph"/>
              <w:numPr>
                <w:ilvl w:val="0"/>
                <w:numId w:val="1"/>
              </w:numPr>
            </w:pPr>
            <w:r>
              <w:rPr>
                <w:b/>
                <w:bCs/>
                <w:color w:val="1B6E5A"/>
                <w:sz w:val="18"/>
                <w:szCs w:val="18"/>
              </w:rPr>
              <w:t xml:space="preserve">Erfolg: Schaffung der operativen Baseline für die Programmausführung mit messbaren KPIs, klaren Verantwortlichkeiten und Entscheidungstransparenz.</w:t>
            </w:r>
          </w:p>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Analyse, Fehlerbehebung und nachhaltige Problemlösung im Bereich E-Mail-Infrastrukturen.</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sowie Migration und Neuaufbau von Applikationen und Serverinfrastrukturen in redundante, hochverfügbare Umgebungen.</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SchlauFabrik – Multi-Tenant Compliance- &amp; KI-Trainingsplattform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Umsetzung einer modernen, responsiven Trainingsplattform für Compliance- und KI-Themen mit Mandantentrennung und RBAC.</w:t>
            </w:r>
          </w:p>
          <w:p>
            <w:pPr>
              <w:pStyle w:val="ListParagraph"/>
              <w:numPr>
                <w:ilvl w:val="0"/>
                <w:numId w:val="1"/>
              </w:numPr>
            </w:pPr>
            <w:r>
              <w:rPr>
                <w:b w:val="false"/>
                <w:bCs w:val="false"/>
                <w:color w:val="07090B"/>
                <w:sz w:val="18"/>
                <w:szCs w:val="18"/>
              </w:rPr>
              <w:t xml:space="preserve">Umsetzung von Security-by-Design mit Postgres Row-Level Security, Audit-Logs, Rate Limiting sowie gehärteten Auth-Flows (Passkey/Magic Link/2FA/SSO).</w:t>
            </w:r>
          </w:p>
          <w:p>
            <w:pPr>
              <w:pStyle w:val="ListParagraph"/>
              <w:numPr>
                <w:ilvl w:val="0"/>
                <w:numId w:val="1"/>
              </w:numPr>
            </w:pPr>
            <w:r>
              <w:rPr>
                <w:b w:val="false"/>
                <w:bCs w:val="false"/>
                <w:color w:val="07090B"/>
                <w:sz w:val="18"/>
                <w:szCs w:val="18"/>
              </w:rPr>
              <w:t xml:space="preserve">Aufbau der Kursplattform inkl. Fortschritts-Tracking, Quiz, Zuweisungen sowie Admin-Dashboards für Tenant-/User-Management.</w:t>
            </w:r>
          </w:p>
          <w:p>
            <w:pPr>
              <w:pStyle w:val="ListParagraph"/>
              <w:numPr>
                <w:ilvl w:val="0"/>
                <w:numId w:val="1"/>
              </w:numPr>
            </w:pPr>
            <w:r>
              <w:rPr>
                <w:b w:val="false"/>
                <w:bCs w:val="false"/>
                <w:color w:val="07090B"/>
                <w:sz w:val="18"/>
                <w:szCs w:val="18"/>
              </w:rPr>
              <w:t xml:space="preserve">Implementierung manipulationssicherer PDF-Zertifikate mit QR-Verifikation und kryptografischem Hashing inkl. Bulk-Export für Audits.</w:t>
            </w:r>
          </w:p>
          <w:p>
            <w:pPr>
              <w:pStyle w:val="ListParagraph"/>
              <w:numPr>
                <w:ilvl w:val="0"/>
                <w:numId w:val="1"/>
              </w:numPr>
            </w:pPr>
            <w:r>
              <w:rPr>
                <w:b w:val="false"/>
                <w:bCs w:val="false"/>
                <w:color w:val="07090B"/>
                <w:sz w:val="18"/>
                <w:szCs w:val="18"/>
              </w:rPr>
              <w:t xml:space="preserve">Integration von Stripe-Abrechnung (Subscriptions, Portal, Webhooks) inkl. Lizenzmodellen und Soft-Lock-Mechanismen für Tenant-Limits.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Februar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2026-02-21T10:40:24.554Z</dcterms:created>
  <dcterms:modified xsi:type="dcterms:W3CDTF">2026-02-21T10:40:24.554Z</dcterms:modified>
</cp:coreProperties>
</file>

<file path=docProps/custom.xml><?xml version="1.0" encoding="utf-8"?>
<Properties xmlns="http://schemas.openxmlformats.org/officeDocument/2006/custom-properties" xmlns:vt="http://schemas.openxmlformats.org/officeDocument/2006/docPropsVTypes"/>
</file>