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E8642C"/>
          <w:spacing w:val="44"/>
          <w:sz w:val="14"/>
          <w:szCs w:val="14"/>
        </w:rPr>
        <w:t xml:space="preserve">TRADERS GUILD</w:t>
      </w:r>
    </w:p>
    <w:p>
      <w:pPr>
        <w:spacing w:after="20"/>
      </w:pPr>
      <w:r>
        <w:rPr>
          <w:rFonts w:ascii="Garamond" w:cs="Garamond" w:eastAsia="Garamond" w:hAnsi="Garamond"/>
          <w:b/>
          <w:bCs/>
          <w:color w:val="1A1A1A"/>
          <w:sz w:val="38"/>
          <w:szCs w:val="38"/>
        </w:rPr>
        <w:t xml:space="preserve">AI Personas, UGC &amp; Podcast Strategy</w:t>
      </w:r>
    </w:p>
    <w:p>
      <w:pPr>
        <w:spacing w:after="60"/>
      </w:pPr>
      <w:r>
        <w:rPr>
          <w:rFonts w:ascii="Garamond" w:cs="Garamond" w:eastAsia="Garamond" w:hAnsi="Garamond"/>
          <w:i/>
          <w:iCs/>
          <w:color w:val="6B6B6B"/>
          <w:sz w:val="22"/>
          <w:szCs w:val="22"/>
        </w:rPr>
        <w:t xml:space="preserve">Scaling Guild education without diluting the thing that sells it: trust</w:t>
      </w:r>
    </w:p>
    <w:p>
      <w:pPr>
        <w:spacing w:after="260"/>
      </w:pPr>
      <w:r>
        <w:rPr>
          <w:rFonts w:ascii="Consolas" w:cs="Consolas" w:eastAsia="Consolas" w:hAnsi="Consolas"/>
          <w:color w:val="6B6B6B"/>
          <w:spacing w:val="8"/>
          <w:sz w:val="14"/>
          <w:szCs w:val="14"/>
        </w:rPr>
        <w:t xml:space="preserve">Prepared for Uwe Cerron · Traders Guild · August 2026</w:t>
      </w:r>
    </w:p>
    <w:p>
      <w:pPr>
        <w:spacing w:after="90" w:before="220"/>
      </w:pPr>
      <w:r>
        <w:rPr>
          <w:rFonts w:ascii="Garamond" w:cs="Garamond" w:eastAsia="Garamond" w:hAnsi="Garamond"/>
          <w:b/>
          <w:bCs/>
          <w:color w:val="1A1A1A"/>
          <w:sz w:val="24"/>
          <w:szCs w:val="24"/>
        </w:rPr>
        <w:t xml:space="preserve">Executive summary</w:t>
      </w:r>
    </w:p>
    <w:p>
      <w:pPr>
        <w:spacing w:after="140" w:line="264"/>
      </w:pPr>
      <w:r>
        <w:rPr>
          <w:rFonts w:ascii="Calibri" w:cs="Calibri" w:eastAsia="Calibri" w:hAnsi="Calibri"/>
          <w:color w:val="3D3D3D"/>
          <w:sz w:val="19"/>
          <w:szCs w:val="19"/>
        </w:rPr>
        <w:t xml:space="preserve">Synthetic UGC works. AI-generated “actor” ads now beat polished studio creative by roughly 27% on click-through and 19% on conversion for direct-to-consumer brands, cost 20–40% less to produce, and the tools that make the actors (Arcads, Creatify, Synthesia, HeyGen, Higgsfield) have crossed into genuinely realistic territory — natural expressions, consistent faces across takes, lip-sync that holds up on a phone screen. The infrastructure to do this well exists today and is cheap.</w:t>
      </w:r>
    </w:p>
    <w:p>
      <w:pPr>
        <w:spacing w:after="140" w:line="264"/>
      </w:pPr>
      <w:r>
        <w:rPr>
          <w:rFonts w:ascii="Calibri" w:cs="Calibri" w:eastAsia="Calibri" w:hAnsi="Calibri"/>
          <w:color w:val="3D3D3D"/>
          <w:sz w:val="19"/>
          <w:szCs w:val="19"/>
        </w:rPr>
        <w:t xml:space="preserve">But fintech and crypto content don't convert the way DTC products do. The research is consistent on this point: financial creator content resolves a trust gap that brand advertising cannot, and the crypto influencers who actually move an audience in 2026 are rated on expertise depth and track record transparency, not follower count or polish. That is the opposite of what a fully synthetic, unattributable persona sells. A fake person with no track record has a track record of zero — in a category where track record is the entire product.</w:t>
      </w:r>
    </w:p>
    <w:p>
      <w:pPr>
        <w:spacing w:after="140" w:line="264"/>
      </w:pPr>
      <w:r>
        <w:rPr>
          <w:rFonts w:ascii="Calibri" w:cs="Calibri" w:eastAsia="Calibri" w:hAnsi="Calibri"/>
          <w:color w:val="3D3D3D"/>
          <w:sz w:val="19"/>
          <w:szCs w:val="19"/>
        </w:rPr>
        <w:t xml:space="preserve">The recommendation in this memo is a hybrid, not a choice between “real” and “AI”: use AI to scale a real, disclosed principal (voice clone, avatar, repurposing) for anything that carries the Guild's actual credibility, and reserve fully synthetic characters for clearly-labeled, low-stakes explainer content — never testimonials, never anything that could read as a real but unnamed client. This is also the version that survives 2026's disclosure enforcement wave intact, covered in Section 4.</w:t>
      </w:r>
    </w:p>
    <w:p>
      <w:r>
        <w:br w:type="page"/>
      </w:r>
    </w:p>
    <w:p>
      <w:pPr>
        <w:pBdr>
          <w:bottom w:val="single" w:color="E5E0DB" w:sz="6" w:space="4"/>
        </w:pBdr>
        <w:spacing w:after="140" w:before="340"/>
      </w:pPr>
      <w:r>
        <w:rPr>
          <w:rFonts w:ascii="Consolas" w:cs="Consolas" w:eastAsia="Consolas" w:hAnsi="Consolas"/>
          <w:b/>
          <w:bCs/>
          <w:color w:val="E8642C"/>
          <w:spacing w:val="16"/>
          <w:sz w:val="20"/>
          <w:szCs w:val="20"/>
        </w:rPr>
        <w:t xml:space="preserve">1 · THE TOOL LANDSCAPE, AS OF AUGUST 2026</w:t>
      </w:r>
    </w:p>
    <w:p>
      <w:pPr>
        <w:spacing w:after="140" w:line="264"/>
      </w:pPr>
      <w:r>
        <w:rPr>
          <w:rFonts w:ascii="Calibri" w:cs="Calibri" w:eastAsia="Calibri" w:hAnsi="Calibri"/>
          <w:color w:val="3D3D3D"/>
          <w:sz w:val="19"/>
          <w:szCs w:val="19"/>
        </w:rPr>
        <w:t xml:space="preserve">Two separate stacks: video/avatar generation for UGC-style ad actors, and voice generation for narration, dubbing, and podcast-style audio. Both have matured fast in the last year.</w:t>
      </w:r>
    </w:p>
    <w:p>
      <w:pPr>
        <w:spacing w:after="90" w:before="220"/>
      </w:pPr>
      <w:r>
        <w:rPr>
          <w:rFonts w:ascii="Garamond" w:cs="Garamond" w:eastAsia="Garamond" w:hAnsi="Garamond"/>
          <w:b/>
          <w:bCs/>
          <w:color w:val="1A1A1A"/>
          <w:sz w:val="24"/>
          <w:szCs w:val="24"/>
        </w:rPr>
        <w:t xml:space="preserve">AI UGC video / avatar generators</w:t>
      </w:r>
    </w:p>
    <w:tbl>
      <w:tblPr>
        <w:tblW w:type="dxa" w:w="9460"/>
        <w:tblBorders>
          <w:top w:val="none"/>
          <w:left w:val="none"/>
          <w:bottom w:val="none"/>
          <w:right w:val="none"/>
          <w:insideH w:val="none"/>
          <w:insideV w:val="none"/>
        </w:tblBorders>
      </w:tblPr>
      <w:tblGrid>
        <w:gridCol w:w="2400"/>
        <w:gridCol w:w="2600"/>
        <w:gridCol w:w="4460"/>
      </w:tblGrid>
      <w:tr>
        <w:trPr>
          <w:tblHeader/>
        </w:trPr>
        <w:tc>
          <w:tcPr>
            <w:tcW w:type="dxa" w:w="240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TOOL</w:t>
            </w:r>
          </w:p>
        </w:tc>
        <w:tc>
          <w:tcPr>
            <w:tcW w:type="dxa" w:w="260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BEST FOR</w:t>
            </w:r>
          </w:p>
        </w:tc>
        <w:tc>
          <w:tcPr>
            <w:tcW w:type="dxa" w:w="446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NOTES</w:t>
            </w:r>
          </w:p>
        </w:tc>
      </w:tr>
      <w:tr>
        <w:tc>
          <w:tcPr>
            <w:tcW w:type="dxa" w:w="24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Arcads</w:t>
            </w:r>
          </w:p>
        </w:tc>
        <w:tc>
          <w:tcPr>
            <w:tcW w:type="dxa" w:w="26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Realistic talking-head actors</w:t>
            </w:r>
          </w:p>
        </w:tc>
        <w:tc>
          <w:tcPr>
            <w:tcW w:type="dxa" w:w="44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200+ digital actors with natural expression and body language; often mistaken for real creators. From ~$110/mo.</w:t>
            </w:r>
          </w:p>
        </w:tc>
      </w:tr>
      <w:tr>
        <w:tc>
          <w:tcPr>
            <w:tcW w:type="dxa" w:w="24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Creatify</w:t>
            </w:r>
          </w:p>
        </w:tc>
        <w:tc>
          <w:tcPr>
            <w:tcW w:type="dxa" w:w="26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Volume / e-commerce</w:t>
            </w:r>
          </w:p>
        </w:tc>
        <w:tc>
          <w:tcPr>
            <w:tcW w:type="dxa" w:w="44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URL-to-video: paste a product or landing page, it drafts the script and cuts an avatar-led ad. 1,500+ avatars, strong lip-sync.</w:t>
            </w:r>
          </w:p>
        </w:tc>
      </w:tr>
      <w:tr>
        <w:tc>
          <w:tcPr>
            <w:tcW w:type="dxa" w:w="24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Synthesia</w:t>
            </w:r>
          </w:p>
        </w:tc>
        <w:tc>
          <w:tcPr>
            <w:tcW w:type="dxa" w:w="26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Enterprise scale, many languages</w:t>
            </w:r>
          </w:p>
        </w:tc>
        <w:tc>
          <w:tcPr>
            <w:tcW w:type="dxa" w:w="44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160+ avatars, 140+ languages. More corporate-training register than scroll-stopping ad register.</w:t>
            </w:r>
          </w:p>
        </w:tc>
      </w:tr>
      <w:tr>
        <w:tc>
          <w:tcPr>
            <w:tcW w:type="dxa" w:w="24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HeyGen</w:t>
            </w:r>
          </w:p>
        </w:tc>
        <w:tc>
          <w:tcPr>
            <w:tcW w:type="dxa" w:w="26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Multilingual campaigns</w:t>
            </w:r>
          </w:p>
        </w:tc>
        <w:tc>
          <w:tcPr>
            <w:tcW w:type="dxa" w:w="44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175+ languages; strong for localizing one script across markets.</w:t>
            </w:r>
          </w:p>
        </w:tc>
      </w:tr>
      <w:tr>
        <w:tc>
          <w:tcPr>
            <w:tcW w:type="dxa" w:w="24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Higgsfield / Influencer Studio / The Influencer AI</w:t>
            </w:r>
          </w:p>
        </w:tc>
        <w:tc>
          <w:tcPr>
            <w:tcW w:type="dxa" w:w="26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A single consistent branded persona</w:t>
            </w:r>
          </w:p>
        </w:tc>
        <w:tc>
          <w:tcPr>
            <w:tcW w:type="dxa" w:w="44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Train a custom face (LoRA-style, from reference photos) for one recurring character used across a content calendar, not one-off ads.</w:t>
            </w:r>
          </w:p>
        </w:tc>
      </w:tr>
    </w:tbl>
    <w:p>
      <w:pPr>
        <w:spacing w:after="90" w:before="220"/>
      </w:pPr>
      <w:r>
        <w:rPr>
          <w:rFonts w:ascii="Garamond" w:cs="Garamond" w:eastAsia="Garamond" w:hAnsi="Garamond"/>
          <w:b/>
          <w:bCs/>
          <w:color w:val="1A1A1A"/>
          <w:sz w:val="24"/>
          <w:szCs w:val="24"/>
        </w:rPr>
        <w:t xml:space="preserve">AI voice generators (for narration, dubbing, podcast-style audio)</w:t>
      </w:r>
    </w:p>
    <w:tbl>
      <w:tblPr>
        <w:tblW w:type="dxa" w:w="9460"/>
        <w:tblBorders>
          <w:top w:val="none"/>
          <w:left w:val="none"/>
          <w:bottom w:val="none"/>
          <w:right w:val="none"/>
          <w:insideH w:val="none"/>
          <w:insideV w:val="none"/>
        </w:tblBorders>
      </w:tblPr>
      <w:tblGrid>
        <w:gridCol w:w="2200"/>
        <w:gridCol w:w="2400"/>
        <w:gridCol w:w="4860"/>
      </w:tblGrid>
      <w:tr>
        <w:trPr>
          <w:tblHeader/>
        </w:trPr>
        <w:tc>
          <w:tcPr>
            <w:tcW w:type="dxa" w:w="220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TOOL</w:t>
            </w:r>
          </w:p>
        </w:tc>
        <w:tc>
          <w:tcPr>
            <w:tcW w:type="dxa" w:w="240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BEST FOR</w:t>
            </w:r>
          </w:p>
        </w:tc>
        <w:tc>
          <w:tcPr>
            <w:tcW w:type="dxa" w:w="486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NOTES</w:t>
            </w:r>
          </w:p>
        </w:tc>
      </w:tr>
      <w:tr>
        <w:tc>
          <w:tcPr>
            <w:tcW w:type="dxa" w:w="22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ElevenLabs</w:t>
            </w:r>
          </w:p>
        </w:tc>
        <w:tc>
          <w:tcPr>
            <w:tcW w:type="dxa" w:w="24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Industry-standard cloning</w:t>
            </w:r>
          </w:p>
        </w:tc>
        <w:tc>
          <w:tcPr>
            <w:tcW w:type="dxa" w:w="48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Hyper-realistic TTS; widely used as the default for cloned or licensed voices.</w:t>
            </w:r>
          </w:p>
        </w:tc>
      </w:tr>
      <w:tr>
        <w:tc>
          <w:tcPr>
            <w:tcW w:type="dxa" w:w="22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Noiz.ai</w:t>
            </w:r>
          </w:p>
        </w:tc>
        <w:tc>
          <w:tcPr>
            <w:tcW w:type="dxa" w:w="24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Emotional range</w:t>
            </w:r>
          </w:p>
        </w:tc>
        <w:tc>
          <w:tcPr>
            <w:tcW w:type="dxa" w:w="48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150+ voices, adjustable emotion (excitement, curiosity); ranked highly for how hard it is to tell it's AI.</w:t>
            </w:r>
          </w:p>
        </w:tc>
      </w:tr>
      <w:tr>
        <w:tc>
          <w:tcPr>
            <w:tcW w:type="dxa" w:w="22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Fish Audio</w:t>
            </w:r>
          </w:p>
        </w:tc>
        <w:tc>
          <w:tcPr>
            <w:tcW w:type="dxa" w:w="24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Raw naturalness</w:t>
            </w:r>
          </w:p>
        </w:tc>
        <w:tc>
          <w:tcPr>
            <w:tcW w:type="dxa" w:w="48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Open-weights model; ranks #1 on naturalness ELO benchmarks in independent tests.</w:t>
            </w:r>
          </w:p>
        </w:tc>
      </w:tr>
      <w:tr>
        <w:tc>
          <w:tcPr>
            <w:tcW w:type="dxa" w:w="22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Descript</w:t>
            </w:r>
          </w:p>
        </w:tc>
        <w:tc>
          <w:tcPr>
            <w:tcW w:type="dxa" w:w="24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Editing + voice in one pass</w:t>
            </w:r>
          </w:p>
        </w:tc>
        <w:tc>
          <w:tcPr>
            <w:tcW w:type="dxa" w:w="48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Best when the workflow is “clone Uwe's voice once, cut new scripts fast” rather than a fully synthetic host.</w:t>
            </w:r>
          </w:p>
        </w:tc>
      </w:tr>
    </w:tbl>
    <w:p>
      <w:pPr>
        <w:pBdr>
          <w:left w:val="single" w:color="E8642C" w:sz="18" w:space="10"/>
        </w:pBdr>
        <w:spacing w:after="200" w:before="160"/>
        <w:ind w:left="260"/>
      </w:pPr>
      <w:r>
        <w:rPr>
          <w:rFonts w:ascii="Garamond" w:cs="Garamond" w:eastAsia="Garamond" w:hAnsi="Garamond"/>
          <w:i/>
          <w:iCs/>
          <w:color w:val="1A1A1A"/>
          <w:sz w:val="24"/>
          <w:szCs w:val="24"/>
        </w:rPr>
        <w:t xml:space="preserve">The realism problem is already solved. The differentiation problem — why should anyone trust this content — is not, and no avatar tool solves it for you.</w:t>
      </w:r>
    </w:p>
    <w:p>
      <w:pPr>
        <w:pBdr>
          <w:bottom w:val="single" w:color="E5E0DB" w:sz="6" w:space="4"/>
        </w:pBdr>
        <w:spacing w:after="140" w:before="340"/>
      </w:pPr>
      <w:r>
        <w:rPr>
          <w:rFonts w:ascii="Consolas" w:cs="Consolas" w:eastAsia="Consolas" w:hAnsi="Consolas"/>
          <w:b/>
          <w:bCs/>
          <w:color w:val="E8642C"/>
          <w:spacing w:val="16"/>
          <w:sz w:val="20"/>
          <w:szCs w:val="20"/>
        </w:rPr>
        <w:t xml:space="preserve">2 · HOW THE REALISTIC ONES ACTUALLY GET REALISTIC</w:t>
      </w:r>
    </w:p>
    <w:p>
      <w:pPr>
        <w:spacing w:after="140" w:line="264"/>
      </w:pPr>
      <w:r>
        <w:rPr>
          <w:rFonts w:ascii="Calibri" w:cs="Calibri" w:eastAsia="Calibri" w:hAnsi="Calibri"/>
          <w:color w:val="3D3D3D"/>
          <w:sz w:val="19"/>
          <w:szCs w:val="19"/>
        </w:rPr>
        <w:t xml:space="preserve">Four techniques account for nearly all of the gap between an obviously-AI clip and one that passes:</w:t>
      </w:r>
    </w:p>
    <w:p>
      <w:pPr>
        <w:spacing w:after="60" w:line="250"/>
        <w:ind w:left="220" w:hanging="220"/>
      </w:pPr>
      <w:r>
        <w:rPr>
          <w:rFonts w:ascii="Calibri" w:cs="Calibri" w:eastAsia="Calibri" w:hAnsi="Calibri"/>
          <w:color w:val="E8642C"/>
          <w:sz w:val="12"/>
          <w:szCs w:val="12"/>
        </w:rPr>
        <w:t xml:space="preserve">■  </w:t>
      </w:r>
      <w:r>
        <w:rPr>
          <w:rFonts w:ascii="Calibri" w:cs="Calibri" w:eastAsia="Calibri" w:hAnsi="Calibri"/>
          <w:b/>
          <w:bCs/>
          <w:color w:val="1A1A1A"/>
          <w:sz w:val="19"/>
          <w:szCs w:val="19"/>
        </w:rPr>
        <w:t xml:space="preserve">Face consistency via reference training</w:t>
      </w:r>
      <w:r>
        <w:rPr>
          <w:rFonts w:ascii="Calibri" w:cs="Calibri" w:eastAsia="Calibri" w:hAnsi="Calibri"/>
          <w:color w:val="3D3D3D"/>
          <w:sz w:val="19"/>
          <w:szCs w:val="19"/>
        </w:rPr>
        <w:t xml:space="preserve"> — the strong tools train a small custom model (LoRA-style) on 10–30 reference photos of one face, so the same “person” appears across every video rather than a new face each render.</w:t>
      </w:r>
    </w:p>
    <w:p>
      <w:pPr>
        <w:spacing w:after="60" w:line="250"/>
        <w:ind w:left="220" w:hanging="220"/>
      </w:pPr>
      <w:r>
        <w:rPr>
          <w:rFonts w:ascii="Calibri" w:cs="Calibri" w:eastAsia="Calibri" w:hAnsi="Calibri"/>
          <w:color w:val="E8642C"/>
          <w:sz w:val="12"/>
          <w:szCs w:val="12"/>
        </w:rPr>
        <w:t xml:space="preserve">■  </w:t>
      </w:r>
      <w:r>
        <w:rPr>
          <w:rFonts w:ascii="Calibri" w:cs="Calibri" w:eastAsia="Calibri" w:hAnsi="Calibri"/>
          <w:b/>
          <w:bCs/>
          <w:color w:val="1A1A1A"/>
          <w:sz w:val="19"/>
          <w:szCs w:val="19"/>
        </w:rPr>
        <w:t xml:space="preserve">Natural variance across takes</w:t>
      </w:r>
      <w:r>
        <w:rPr>
          <w:rFonts w:ascii="Calibri" w:cs="Calibri" w:eastAsia="Calibri" w:hAnsi="Calibri"/>
          <w:color w:val="3D3D3D"/>
          <w:sz w:val="19"/>
          <w:szCs w:val="19"/>
        </w:rPr>
        <w:t xml:space="preserve"> — real people blink at irregular intervals, shift weight, mis-time a word and recover. The realistic platforms deliberately inject that variance; the uncanny ones are too smooth and too symmetrical.</w:t>
      </w:r>
    </w:p>
    <w:p>
      <w:pPr>
        <w:spacing w:after="60" w:line="250"/>
        <w:ind w:left="220" w:hanging="220"/>
      </w:pPr>
      <w:r>
        <w:rPr>
          <w:rFonts w:ascii="Calibri" w:cs="Calibri" w:eastAsia="Calibri" w:hAnsi="Calibri"/>
          <w:color w:val="E8642C"/>
          <w:sz w:val="12"/>
          <w:szCs w:val="12"/>
        </w:rPr>
        <w:t xml:space="preserve">■  </w:t>
      </w:r>
      <w:r>
        <w:rPr>
          <w:rFonts w:ascii="Calibri" w:cs="Calibri" w:eastAsia="Calibri" w:hAnsi="Calibri"/>
          <w:b/>
          <w:bCs/>
          <w:color w:val="1A1A1A"/>
          <w:sz w:val="19"/>
          <w:szCs w:val="19"/>
        </w:rPr>
        <w:t xml:space="preserve">Lip-sync tied to the actual audio track</w:t>
      </w:r>
      <w:r>
        <w:rPr>
          <w:rFonts w:ascii="Calibri" w:cs="Calibri" w:eastAsia="Calibri" w:hAnsi="Calibri"/>
          <w:color w:val="3D3D3D"/>
          <w:sz w:val="19"/>
          <w:szCs w:val="19"/>
        </w:rPr>
        <w:t xml:space="preserve"> — generated second, from a real or cloned voice track, not the other way around. Sync drift is the single fastest tell on a phone screen.</w:t>
      </w:r>
    </w:p>
    <w:p>
      <w:pPr>
        <w:spacing w:after="60" w:line="250"/>
        <w:ind w:left="220" w:hanging="220"/>
      </w:pPr>
      <w:r>
        <w:rPr>
          <w:rFonts w:ascii="Calibri" w:cs="Calibri" w:eastAsia="Calibri" w:hAnsi="Calibri"/>
          <w:color w:val="E8642C"/>
          <w:sz w:val="12"/>
          <w:szCs w:val="12"/>
        </w:rPr>
        <w:t xml:space="preserve">■  </w:t>
      </w:r>
      <w:r>
        <w:rPr>
          <w:rFonts w:ascii="Calibri" w:cs="Calibri" w:eastAsia="Calibri" w:hAnsi="Calibri"/>
          <w:b/>
          <w:bCs/>
          <w:color w:val="1A1A1A"/>
          <w:sz w:val="19"/>
          <w:szCs w:val="19"/>
        </w:rPr>
        <w:t xml:space="preserve">Voice cloning with emotional range</w:t>
      </w:r>
      <w:r>
        <w:rPr>
          <w:rFonts w:ascii="Calibri" w:cs="Calibri" w:eastAsia="Calibri" w:hAnsi="Calibri"/>
          <w:color w:val="3D3D3D"/>
          <w:sz w:val="19"/>
          <w:szCs w:val="19"/>
        </w:rPr>
        <w:t xml:space="preserve"> — flat, evenly-paced narration is the other fast tell. Platforms like Noiz.ai and ElevenLabs let you mark emphasis and emotion per line rather than rendering the whole script in one register.</w:t>
      </w:r>
    </w:p>
    <w:p>
      <w:pPr>
        <w:spacing w:after="140" w:line="264"/>
      </w:pPr>
      <w:r>
        <w:rPr>
          <w:rFonts w:ascii="Calibri" w:cs="Calibri" w:eastAsia="Calibri" w:hAnsi="Calibri"/>
          <w:color w:val="3D3D3D"/>
          <w:sz w:val="19"/>
          <w:szCs w:val="19"/>
        </w:rPr>
        <w:t xml:space="preserve">None of this requires a fabricated person. All four techniques apply identically — and work better — when the reference photos and voice sample are a real, consenting principal (Uwe, or whoever the Guild designates as its on-camera voice) being cloned for scale, rather than a synthetic stranger built from nothing.</w:t>
      </w:r>
    </w:p>
    <w:p>
      <w:pPr>
        <w:pBdr>
          <w:bottom w:val="single" w:color="E5E0DB" w:sz="6" w:space="4"/>
        </w:pBdr>
        <w:spacing w:after="140" w:before="340"/>
      </w:pPr>
      <w:r>
        <w:rPr>
          <w:rFonts w:ascii="Consolas" w:cs="Consolas" w:eastAsia="Consolas" w:hAnsi="Consolas"/>
          <w:b/>
          <w:bCs/>
          <w:color w:val="E8642C"/>
          <w:spacing w:val="16"/>
          <w:sz w:val="20"/>
          <w:szCs w:val="20"/>
        </w:rPr>
        <w:t xml:space="preserve">3 · THE PODCAST AND PERSONA APPROACH RECOMMENDED FOR THE GUILD</w:t>
      </w:r>
    </w:p>
    <w:p>
      <w:pPr>
        <w:spacing w:after="90" w:before="220"/>
      </w:pPr>
      <w:r>
        <w:rPr>
          <w:rFonts w:ascii="Garamond" w:cs="Garamond" w:eastAsia="Garamond" w:hAnsi="Garamond"/>
          <w:b/>
          <w:bCs/>
          <w:color w:val="1A1A1A"/>
          <w:sz w:val="24"/>
          <w:szCs w:val="24"/>
        </w:rPr>
        <w:t xml:space="preserve">Lead with a cloned, disclosed real person — not an invented one</w:t>
      </w:r>
    </w:p>
    <w:p>
      <w:pPr>
        <w:spacing w:after="140" w:line="264"/>
      </w:pPr>
      <w:r>
        <w:rPr>
          <w:rFonts w:ascii="Calibri" w:cs="Calibri" w:eastAsia="Calibri" w:hAnsi="Calibri"/>
          <w:color w:val="3D3D3D"/>
          <w:sz w:val="19"/>
          <w:szCs w:val="19"/>
        </w:rPr>
        <w:t xml:space="preserve">Creator-led educational content is currently the highest-trust, highest-growth acquisition channel available to fintech brands, and the crypto influencers who actually convert in 2026 are judged on expertise depth and track record, not production value. That argues directly against building an anonymous synthetic “Guild host” character from scratch — it would have to earn trust with zero track record, competing against real operators who already have one.</w:t>
      </w:r>
    </w:p>
    <w:p>
      <w:pPr>
        <w:spacing w:after="140" w:line="264"/>
      </w:pPr>
      <w:r>
        <w:rPr>
          <w:rFonts w:ascii="Calibri" w:cs="Calibri" w:eastAsia="Calibri" w:hAnsi="Calibri"/>
          <w:color w:val="3D3D3D"/>
          <w:sz w:val="19"/>
          <w:szCs w:val="19"/>
        </w:rPr>
        <w:t xml:space="preserve">The higher-ROAS path: clone Uwe's (or another named principal's) voice and likeness once, with consent, and use it to scale output — turning research notes, deal debriefs, and market takes into short-form video and a recurring podcast without needing him on camera for every single clip. This is disclosed AI-assisted content from a real, named, accountable person, not a synthetic performer. It keeps the credibility the Guild has actually built while removing the production bottleneck.</w:t>
      </w:r>
    </w:p>
    <w:p>
      <w:pPr>
        <w:spacing w:after="90" w:before="220"/>
      </w:pPr>
      <w:r>
        <w:rPr>
          <w:rFonts w:ascii="Garamond" w:cs="Garamond" w:eastAsia="Garamond" w:hAnsi="Garamond"/>
          <w:b/>
          <w:bCs/>
          <w:color w:val="1A1A1A"/>
          <w:sz w:val="24"/>
          <w:szCs w:val="24"/>
        </w:rPr>
        <w:t xml:space="preserve">Reserve fully synthetic characters for one narrow job: evergreen explainers</w:t>
      </w:r>
    </w:p>
    <w:p>
      <w:pPr>
        <w:spacing w:after="140" w:line="264"/>
      </w:pPr>
      <w:r>
        <w:rPr>
          <w:rFonts w:ascii="Calibri" w:cs="Calibri" w:eastAsia="Calibri" w:hAnsi="Calibri"/>
          <w:color w:val="3D3D3D"/>
          <w:sz w:val="19"/>
          <w:szCs w:val="19"/>
        </w:rPr>
        <w:t xml:space="preserve">A clearly-labeled, named AI character (“this explainer is presented by an AI-generated Guild character”, stated up front) is fine for repeatable, non-testimonial educational content — “what is RWA tokenization,” “how rating agencies think about on-chain credit risk” — where the claim being made is about the topic, not about the character's own experience or opinion. That's a materially lower-risk use of a synthetic persona than a UGC ad that implies “a real customer said this.”</w:t>
      </w:r>
    </w:p>
    <w:p>
      <w:pPr>
        <w:spacing w:after="90" w:before="220"/>
      </w:pPr>
      <w:r>
        <w:rPr>
          <w:rFonts w:ascii="Garamond" w:cs="Garamond" w:eastAsia="Garamond" w:hAnsi="Garamond"/>
          <w:b/>
          <w:bCs/>
          <w:color w:val="1A1A1A"/>
          <w:sz w:val="24"/>
          <w:szCs w:val="24"/>
        </w:rPr>
        <w:t xml:space="preserve">Podcast format</w:t>
      </w:r>
    </w:p>
    <w:p>
      <w:pPr>
        <w:spacing w:after="60" w:line="250"/>
        <w:ind w:left="220" w:hanging="220"/>
      </w:pPr>
      <w:r>
        <w:rPr>
          <w:rFonts w:ascii="Calibri" w:cs="Calibri" w:eastAsia="Calibri" w:hAnsi="Calibri"/>
          <w:color w:val="E8642C"/>
          <w:sz w:val="12"/>
          <w:szCs w:val="12"/>
        </w:rPr>
        <w:t xml:space="preserve">■  </w:t>
      </w:r>
      <w:r>
        <w:rPr>
          <w:rFonts w:ascii="Calibri" w:cs="Calibri" w:eastAsia="Calibri" w:hAnsi="Calibri"/>
          <w:color w:val="3D3D3D"/>
          <w:sz w:val="19"/>
          <w:szCs w:val="19"/>
        </w:rPr>
        <w:t xml:space="preserve">A short (8–15 min), recurring “Guild Debrief” in Uwe's cloned voice, scripted from the week's actual research and deal flow — the same material already produced internally, repurposed rather than newly written.</w:t>
      </w:r>
    </w:p>
    <w:p>
      <w:pPr>
        <w:spacing w:after="60" w:line="250"/>
        <w:ind w:left="220" w:hanging="220"/>
      </w:pPr>
      <w:r>
        <w:rPr>
          <w:rFonts w:ascii="Calibri" w:cs="Calibri" w:eastAsia="Calibri" w:hAnsi="Calibri"/>
          <w:color w:val="E8642C"/>
          <w:sz w:val="12"/>
          <w:szCs w:val="12"/>
        </w:rPr>
        <w:t xml:space="preserve">■  </w:t>
      </w:r>
      <w:r>
        <w:rPr>
          <w:rFonts w:ascii="Calibri" w:cs="Calibri" w:eastAsia="Calibri" w:hAnsi="Calibri"/>
          <w:color w:val="3D3D3D"/>
          <w:sz w:val="19"/>
          <w:szCs w:val="19"/>
        </w:rPr>
        <w:t xml:space="preserve">Published to YouTube, Spotify, and as native audio on X/LinkedIn; every episode cut into 3–5 vertical clips using the hook framework in Section 5.</w:t>
      </w:r>
    </w:p>
    <w:p>
      <w:pPr>
        <w:spacing w:after="60" w:line="250"/>
        <w:ind w:left="220" w:hanging="220"/>
      </w:pPr>
      <w:r>
        <w:rPr>
          <w:rFonts w:ascii="Calibri" w:cs="Calibri" w:eastAsia="Calibri" w:hAnsi="Calibri"/>
          <w:color w:val="E8642C"/>
          <w:sz w:val="12"/>
          <w:szCs w:val="12"/>
        </w:rPr>
        <w:t xml:space="preserve">■  </w:t>
      </w:r>
      <w:r>
        <w:rPr>
          <w:rFonts w:ascii="Calibri" w:cs="Calibri" w:eastAsia="Calibri" w:hAnsi="Calibri"/>
          <w:color w:val="3D3D3D"/>
          <w:sz w:val="19"/>
          <w:szCs w:val="19"/>
        </w:rPr>
        <w:t xml:space="preserve">Every AI-assisted or AI-voiced piece carries a one-line, on-screen disclosure (see Section 4) — not a legal footnote, a plain sentence, because the FTC's 2026 guidance treats a buried disclosure the same as no disclosure.</w:t>
      </w:r>
    </w:p>
    <w:p>
      <w:r>
        <w:br w:type="page"/>
      </w:r>
    </w:p>
    <w:p>
      <w:pPr>
        <w:pBdr>
          <w:bottom w:val="single" w:color="E5E0DB" w:sz="6" w:space="4"/>
        </w:pBdr>
        <w:spacing w:after="140" w:before="340"/>
      </w:pPr>
      <w:r>
        <w:rPr>
          <w:rFonts w:ascii="Consolas" w:cs="Consolas" w:eastAsia="Consolas" w:hAnsi="Consolas"/>
          <w:b/>
          <w:bCs/>
          <w:color w:val="E8642C"/>
          <w:spacing w:val="16"/>
          <w:sz w:val="20"/>
          <w:szCs w:val="20"/>
        </w:rPr>
        <w:t xml:space="preserve">4 · DISCLOSURE AND COMPLIANCE — READ BEFORE PRODUCING ANYTHING</w:t>
      </w:r>
    </w:p>
    <w:p>
      <w:pPr>
        <w:spacing w:after="140" w:line="264"/>
      </w:pPr>
      <w:r>
        <w:rPr>
          <w:rFonts w:ascii="Calibri" w:cs="Calibri" w:eastAsia="Calibri" w:hAnsi="Calibri"/>
          <w:color w:val="3D3D3D"/>
          <w:sz w:val="19"/>
          <w:szCs w:val="19"/>
        </w:rPr>
        <w:t xml:space="preserve">2026 is the year this space went from unregulated to actively enforced. Three separate frameworks apply, and Traders Guild sits close enough to financial advice that all three are worth taking seriously rather than treating as boilerplate.</w:t>
      </w:r>
    </w:p>
    <w:tbl>
      <w:tblPr>
        <w:tblW w:type="dxa" w:w="9460"/>
        <w:tblBorders>
          <w:top w:val="none"/>
          <w:left w:val="none"/>
          <w:bottom w:val="none"/>
          <w:right w:val="none"/>
          <w:insideH w:val="none"/>
          <w:insideV w:val="none"/>
        </w:tblBorders>
      </w:tblPr>
      <w:tblGrid>
        <w:gridCol w:w="2500"/>
        <w:gridCol w:w="4300"/>
        <w:gridCol w:w="2660"/>
      </w:tblGrid>
      <w:tr>
        <w:trPr>
          <w:tblHeader/>
        </w:trPr>
        <w:tc>
          <w:tcPr>
            <w:tcW w:type="dxa" w:w="250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FRAMEWORK</w:t>
            </w:r>
          </w:p>
        </w:tc>
        <w:tc>
          <w:tcPr>
            <w:tcW w:type="dxa" w:w="430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WHAT IT REQUIRES</w:t>
            </w:r>
          </w:p>
        </w:tc>
        <w:tc>
          <w:tcPr>
            <w:tcW w:type="dxa" w:w="266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WHY IT APPLIES HERE</w:t>
            </w:r>
          </w:p>
        </w:tc>
      </w:tr>
      <w:tr>
        <w:tc>
          <w:tcPr>
            <w:tcW w:type="dxa" w:w="25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FTC Endorsement Guides (expanded 2023, operationalized for AI in May 2026)</w:t>
            </w:r>
          </w:p>
        </w:tc>
        <w:tc>
          <w:tcPr>
            <w:tcW w:type="dxa" w:w="43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Two disclosures: identity (the audience must know an endorser isn't a real person) and material connection (if the brand paid for or controls the content). Undisclosed virtual endorsements are treated as inherently deceptive.</w:t>
            </w:r>
          </w:p>
        </w:tc>
        <w:tc>
          <w:tcPr>
            <w:tcW w:type="dxa" w:w="26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Any AI avatar or voice presented as if giving a genuine opinion or testimonial is an “endorser” under the expanded definition, whether or not it looks human. Operation AI Comply has brought 12+ enforcement actions and named synthetic influencer content a 2026 priority.</w:t>
            </w:r>
          </w:p>
        </w:tc>
      </w:tr>
      <w:tr>
        <w:tc>
          <w:tcPr>
            <w:tcW w:type="dxa" w:w="25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New York AI Transparency in Advertising Act (effective June 9, 2026)</w:t>
            </w:r>
          </w:p>
        </w:tc>
        <w:tc>
          <w:tcPr>
            <w:tcW w:type="dxa" w:w="43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Conspicuous disclosure whenever an ad features a “synthetic performer” — a generative-AI asset built to seem like a human performer.</w:t>
            </w:r>
          </w:p>
        </w:tc>
        <w:tc>
          <w:tcPr>
            <w:tcW w:type="dxa" w:w="26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State-level, but a real precedent other states are expected to follow; New York's ad-tech and finance concentration means it's a de facto national floor for anyone advertising broadly.</w:t>
            </w:r>
          </w:p>
        </w:tc>
      </w:tr>
      <w:tr>
        <w:tc>
          <w:tcPr>
            <w:tcW w:type="dxa" w:w="25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SEC Marketing Rule 206(4)-1 (testimonials &amp; endorsements)</w:t>
            </w:r>
          </w:p>
        </w:tc>
        <w:tc>
          <w:tcPr>
            <w:tcW w:type="dxa" w:w="43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If Traders Guild is or becomes a registered investment adviser, testimonials and endorsements — AI-generated or not — need substantiation and specific disclosures; the SEC's 2026 exam priorities name this rule explicitly.</w:t>
            </w:r>
          </w:p>
        </w:tc>
        <w:tc>
          <w:tcPr>
            <w:tcW w:type="dxa" w:w="26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Not yet Traders Guild's status, but worth designing around now: never let AI-generated content simulate a client testimonial. Educational and market-commentary content is lower-risk than anything that reads as “a client says.”</w:t>
            </w:r>
          </w:p>
        </w:tc>
      </w:tr>
    </w:tbl>
    <w:p>
      <w:pPr>
        <w:spacing w:after="140" w:line="264"/>
      </w:pPr>
      <w:r>
        <w:rPr>
          <w:rFonts w:ascii="Calibri" w:cs="Calibri" w:eastAsia="Calibri" w:hAnsi="Calibri"/>
          <w:color w:val="3D3D3D"/>
          <w:sz w:val="19"/>
          <w:szCs w:val="19"/>
        </w:rPr>
        <w:t xml:space="preserve">Practical rule of thumb that satisfies all three at once: every AI-voiced or AI-avatar piece opens with a plain-language, on-screen disclosure of what it is (“AI-narrated from [name]'s research” or “AI-generated Guild explainer”), and nothing AI-generated is ever framed as an unaffiliated third party's opinion or a client's testimonial. This is not legal advice — a securities/ad-law review is worth the one-time cost before the first paid campaign runs, not after.</w:t>
      </w:r>
    </w:p>
    <w:p>
      <w:pPr>
        <w:pBdr>
          <w:bottom w:val="single" w:color="E5E0DB" w:sz="6" w:space="4"/>
        </w:pBdr>
        <w:spacing w:after="140" w:before="340"/>
      </w:pPr>
      <w:r>
        <w:rPr>
          <w:rFonts w:ascii="Consolas" w:cs="Consolas" w:eastAsia="Consolas" w:hAnsi="Consolas"/>
          <w:b/>
          <w:bCs/>
          <w:color w:val="E8642C"/>
          <w:spacing w:val="16"/>
          <w:sz w:val="20"/>
          <w:szCs w:val="20"/>
        </w:rPr>
        <w:t xml:space="preserve">5 · THE ROAS PLAYBOOK</w:t>
      </w:r>
    </w:p>
    <w:p>
      <w:pPr>
        <w:spacing w:after="90" w:before="220"/>
      </w:pPr>
      <w:r>
        <w:rPr>
          <w:rFonts w:ascii="Garamond" w:cs="Garamond" w:eastAsia="Garamond" w:hAnsi="Garamond"/>
          <w:b/>
          <w:bCs/>
          <w:color w:val="1A1A1A"/>
          <w:sz w:val="24"/>
          <w:szCs w:val="24"/>
        </w:rPr>
        <w:t xml:space="preserve">Benchmarks (directional — no fintech/crypto-education number exists yet publicly)</w:t>
      </w:r>
    </w:p>
    <w:tbl>
      <w:tblPr>
        <w:tblW w:type="dxa" w:w="9460"/>
        <w:tblBorders>
          <w:top w:val="none"/>
          <w:left w:val="none"/>
          <w:bottom w:val="none"/>
          <w:right w:val="none"/>
          <w:insideH w:val="none"/>
          <w:insideV w:val="none"/>
        </w:tblBorders>
      </w:tblPr>
      <w:tblGrid>
        <w:gridCol w:w="2600"/>
        <w:gridCol w:w="2200"/>
        <w:gridCol w:w="4660"/>
      </w:tblGrid>
      <w:tr>
        <w:trPr>
          <w:tblHeader/>
        </w:trPr>
        <w:tc>
          <w:tcPr>
            <w:tcW w:type="dxa" w:w="260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CATEGORY</w:t>
            </w:r>
          </w:p>
        </w:tc>
        <w:tc>
          <w:tcPr>
            <w:tcW w:type="dxa" w:w="220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TYPICAL ROAS</w:t>
            </w:r>
          </w:p>
        </w:tc>
        <w:tc>
          <w:tcPr>
            <w:tcW w:type="dxa" w:w="466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NOTES</w:t>
            </w:r>
          </w:p>
        </w:tc>
      </w:tr>
      <w:tr>
        <w:tc>
          <w:tcPr>
            <w:tcW w:type="dxa" w:w="26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Fitness UGC</w:t>
            </w:r>
          </w:p>
        </w:tc>
        <w:tc>
          <w:tcPr>
            <w:tcW w:type="dxa" w:w="22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2.8–3.2x cold traffic</w:t>
            </w:r>
          </w:p>
        </w:tc>
        <w:tc>
          <w:tcPr>
            <w:tcW w:type="dxa" w:w="46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3.1% average CTR.</w:t>
            </w:r>
          </w:p>
        </w:tc>
      </w:tr>
      <w:tr>
        <w:tc>
          <w:tcPr>
            <w:tcW w:type="dxa" w:w="26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SaaS explainer / demo</w:t>
            </w:r>
          </w:p>
        </w:tc>
        <w:tc>
          <w:tcPr>
            <w:tcW w:type="dxa" w:w="22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1.8–2.2x</w:t>
            </w:r>
          </w:p>
        </w:tc>
        <w:tc>
          <w:tcPr>
            <w:tcW w:type="dxa" w:w="46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Closest proxy to a technical financial product.</w:t>
            </w:r>
          </w:p>
        </w:tc>
      </w:tr>
      <w:tr>
        <w:tc>
          <w:tcPr>
            <w:tcW w:type="dxa" w:w="26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SaaS testimonial / use-case UGC</w:t>
            </w:r>
          </w:p>
        </w:tc>
        <w:tc>
          <w:tcPr>
            <w:tcW w:type="dxa" w:w="22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2.0–2.5x</w:t>
            </w:r>
          </w:p>
        </w:tc>
        <w:tc>
          <w:tcPr>
            <w:tcW w:type="dxa" w:w="46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Closest proxy to Guild client-outcome content — without a synthetic “client.”</w:t>
            </w:r>
          </w:p>
        </w:tc>
      </w:tr>
      <w:tr>
        <w:tc>
          <w:tcPr>
            <w:tcW w:type="dxa" w:w="26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Beauty / skincare</w:t>
            </w:r>
          </w:p>
        </w:tc>
        <w:tc>
          <w:tcPr>
            <w:tcW w:type="dxa" w:w="22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3.0–4.5x (Meta), 2.5–3.8x (TikTok)</w:t>
            </w:r>
          </w:p>
        </w:tc>
        <w:tc>
          <w:tcPr>
            <w:tcW w:type="dxa" w:w="46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Before/after formats nearly double CTR vs. polished stills — the general principle (raw beats polished) is what transfers, not the multiple.</w:t>
            </w:r>
          </w:p>
        </w:tc>
      </w:tr>
    </w:tbl>
    <w:p>
      <w:pPr>
        <w:spacing w:after="140" w:line="264"/>
      </w:pPr>
      <w:r>
        <w:rPr>
          <w:rFonts w:ascii="Calibri" w:cs="Calibri" w:eastAsia="Calibri" w:hAnsi="Calibri"/>
          <w:color w:val="3D3D3D"/>
          <w:sz w:val="19"/>
          <w:szCs w:val="19"/>
        </w:rPr>
        <w:t xml:space="preserve">General findings that do transfer directly: UGC-style creative beats polished brand content by ~27% CTR and ~19% conversion on Meta; a single UGC-style video runs $200–800 to produce against $2,000–8,000 for a studio spot; UGC-style ads run 30–50% lower CPA than studio creative. Treat the SaaS-explainer and SaaS-testimonial rows above as the working target range (roughly 1.8–2.5x) until the Guild has its own data to benchmark against.</w:t>
      </w:r>
    </w:p>
    <w:p>
      <w:pPr>
        <w:spacing w:after="90" w:before="220"/>
      </w:pPr>
      <w:r>
        <w:rPr>
          <w:rFonts w:ascii="Garamond" w:cs="Garamond" w:eastAsia="Garamond" w:hAnsi="Garamond"/>
          <w:b/>
          <w:bCs/>
          <w:color w:val="1A1A1A"/>
          <w:sz w:val="24"/>
          <w:szCs w:val="24"/>
        </w:rPr>
        <w:t xml:space="preserve">Script structure (use for every clip, ad or organic)</w:t>
      </w:r>
    </w:p>
    <w:p>
      <w:pPr>
        <w:spacing w:after="140" w:line="264"/>
      </w:pPr>
      <w:r>
        <w:rPr>
          <w:rFonts w:ascii="Calibri" w:cs="Calibri" w:eastAsia="Calibri" w:hAnsi="Calibri"/>
          <w:color w:val="3D3D3D"/>
          <w:sz w:val="19"/>
          <w:szCs w:val="19"/>
        </w:rPr>
        <w:t xml:space="preserve">Six beats, in order — script the hook and the CTA word-for-word, leave the middle as talking points so it doesn't sound read: Hook (stops the scroll, first 1.5–3 seconds) → Problem (names a real pain — “you can't get a warm intro into RWA market makers”) → Solution (what the Guild actually does) → Value prop (why this beats a cold DM or a generic Discord) → Social proof (aggregate, verifiable claims — “9,000+ people, 3,000+ firms” — never a fabricated named client) → CTA (one action, one link).</w:t>
      </w:r>
    </w:p>
    <w:p>
      <w:pPr>
        <w:spacing w:after="90" w:before="220"/>
      </w:pPr>
      <w:r>
        <w:rPr>
          <w:rFonts w:ascii="Garamond" w:cs="Garamond" w:eastAsia="Garamond" w:hAnsi="Garamond"/>
          <w:b/>
          <w:bCs/>
          <w:color w:val="1A1A1A"/>
          <w:sz w:val="24"/>
          <w:szCs w:val="24"/>
        </w:rPr>
        <w:t xml:space="preserve">Distribution mechanic</w:t>
      </w:r>
    </w:p>
    <w:p>
      <w:pPr>
        <w:spacing w:after="60" w:line="250"/>
        <w:ind w:left="220" w:hanging="220"/>
      </w:pPr>
      <w:r>
        <w:rPr>
          <w:rFonts w:ascii="Calibri" w:cs="Calibri" w:eastAsia="Calibri" w:hAnsi="Calibri"/>
          <w:color w:val="E8642C"/>
          <w:sz w:val="12"/>
          <w:szCs w:val="12"/>
        </w:rPr>
        <w:t xml:space="preserve">■  </w:t>
      </w:r>
      <w:r>
        <w:rPr>
          <w:rFonts w:ascii="Calibri" w:cs="Calibri" w:eastAsia="Calibri" w:hAnsi="Calibri"/>
          <w:color w:val="3D3D3D"/>
          <w:sz w:val="19"/>
          <w:szCs w:val="19"/>
        </w:rPr>
        <w:t xml:space="preserve">Post organically first across the AI-cloned-voice channel (YouTube/TikTok/X/LinkedIn); let 1–2 weeks of organic performance identify winners.</w:t>
      </w:r>
    </w:p>
    <w:p>
      <w:pPr>
        <w:spacing w:after="60" w:line="250"/>
        <w:ind w:left="220" w:hanging="220"/>
      </w:pPr>
      <w:r>
        <w:rPr>
          <w:rFonts w:ascii="Calibri" w:cs="Calibri" w:eastAsia="Calibri" w:hAnsi="Calibri"/>
          <w:color w:val="E8642C"/>
          <w:sz w:val="12"/>
          <w:szCs w:val="12"/>
        </w:rPr>
        <w:t xml:space="preserve">■  </w:t>
      </w:r>
      <w:r>
        <w:rPr>
          <w:rFonts w:ascii="Calibri" w:cs="Calibri" w:eastAsia="Calibri" w:hAnsi="Calibri"/>
          <w:color w:val="3D3D3D"/>
          <w:sz w:val="19"/>
          <w:szCs w:val="19"/>
        </w:rPr>
        <w:t xml:space="preserve">Whitelist the top performers as Spark Ads (TikTok) / partnership ads (Meta) — the content stays posted from the real account with a “Sponsored” label added automatically, so the disclosure requirement in Section 4 is satisfied by the platform mechanic itself.</w:t>
      </w:r>
    </w:p>
    <w:p>
      <w:pPr>
        <w:spacing w:after="60" w:line="250"/>
        <w:ind w:left="220" w:hanging="220"/>
      </w:pPr>
      <w:r>
        <w:rPr>
          <w:rFonts w:ascii="Calibri" w:cs="Calibri" w:eastAsia="Calibri" w:hAnsi="Calibri"/>
          <w:color w:val="E8642C"/>
          <w:sz w:val="12"/>
          <w:szCs w:val="12"/>
        </w:rPr>
        <w:t xml:space="preserve">■  </w:t>
      </w:r>
      <w:r>
        <w:rPr>
          <w:rFonts w:ascii="Calibri" w:cs="Calibri" w:eastAsia="Calibri" w:hAnsi="Calibri"/>
          <w:color w:val="3D3D3D"/>
          <w:sz w:val="19"/>
          <w:szCs w:val="19"/>
        </w:rPr>
        <w:t xml:space="preserve">Refresh creative weekly. Ad fatigue is the single biggest ROAS killer in every benchmark cited above — 5–10 new variants per week beats one polished monthly release.</w:t>
      </w:r>
    </w:p>
    <w:p>
      <w:pPr>
        <w:spacing w:after="60" w:line="250"/>
        <w:ind w:left="220" w:hanging="220"/>
      </w:pPr>
      <w:r>
        <w:rPr>
          <w:rFonts w:ascii="Calibri" w:cs="Calibri" w:eastAsia="Calibri" w:hAnsi="Calibri"/>
          <w:color w:val="E8642C"/>
          <w:sz w:val="12"/>
          <w:szCs w:val="12"/>
        </w:rPr>
        <w:t xml:space="preserve">■  </w:t>
      </w:r>
      <w:r>
        <w:rPr>
          <w:rFonts w:ascii="Calibri" w:cs="Calibri" w:eastAsia="Calibri" w:hAnsi="Calibri"/>
          <w:color w:val="3D3D3D"/>
          <w:sz w:val="19"/>
          <w:szCs w:val="19"/>
        </w:rPr>
        <w:t xml:space="preserve">Track hook rate at 3 seconds, CTR, cost-per-lead into the Nexus/Guild funnel, and ROAS by campaign; kill anything below the SaaS-testimonial floor (2.0x) after 3–5 days of spend, not after a month.</w:t>
      </w:r>
    </w:p>
    <w:p>
      <w:pPr>
        <w:pBdr>
          <w:bottom w:val="single" w:color="E5E0DB" w:sz="6" w:space="4"/>
        </w:pBdr>
        <w:spacing w:after="140" w:before="340"/>
      </w:pPr>
      <w:r>
        <w:rPr>
          <w:rFonts w:ascii="Consolas" w:cs="Consolas" w:eastAsia="Consolas" w:hAnsi="Consolas"/>
          <w:b/>
          <w:bCs/>
          <w:color w:val="E8642C"/>
          <w:spacing w:val="16"/>
          <w:sz w:val="20"/>
          <w:szCs w:val="20"/>
        </w:rPr>
        <w:t xml:space="preserve">6 · RECOMMENDED ROLLOUT</w:t>
      </w:r>
    </w:p>
    <w:tbl>
      <w:tblPr>
        <w:tblW w:type="dxa" w:w="9460"/>
        <w:tblBorders>
          <w:top w:val="none"/>
          <w:left w:val="none"/>
          <w:bottom w:val="none"/>
          <w:right w:val="none"/>
          <w:insideH w:val="none"/>
          <w:insideV w:val="none"/>
        </w:tblBorders>
      </w:tblPr>
      <w:tblGrid>
        <w:gridCol w:w="1800"/>
        <w:gridCol w:w="1800"/>
        <w:gridCol w:w="5860"/>
      </w:tblGrid>
      <w:tr>
        <w:trPr>
          <w:tblHeader/>
        </w:trPr>
        <w:tc>
          <w:tcPr>
            <w:tcW w:type="dxa" w:w="180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PHASE</w:t>
            </w:r>
          </w:p>
        </w:tc>
        <w:tc>
          <w:tcPr>
            <w:tcW w:type="dxa" w:w="180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TIMELINE</w:t>
            </w:r>
          </w:p>
        </w:tc>
        <w:tc>
          <w:tcPr>
            <w:tcW w:type="dxa" w:w="5860"/>
            <w:tcBorders>
              <w:top w:val="single" w:color="E5E0DB" w:sz="4"/>
              <w:left w:val="none"/>
              <w:bottom w:val="single" w:color="E5E0DB" w:sz="4"/>
              <w:right w:val="none"/>
            </w:tcBorders>
            <w:shd w:fill="F7F4F0" w:color="auto" w:val="clear"/>
            <w:tcMar>
              <w:top w:type="dxa" w:w="80"/>
              <w:left w:type="dxa" w:w="130"/>
              <w:bottom w:type="dxa" w:w="80"/>
              <w:right w:type="dxa" w:w="130"/>
            </w:tcMar>
          </w:tcPr>
          <w:p>
            <w:r>
              <w:rPr>
                <w:rFonts w:ascii="Consolas" w:cs="Consolas" w:eastAsia="Consolas" w:hAnsi="Consolas"/>
                <w:b/>
                <w:bCs/>
                <w:color w:val="1A1A1A"/>
                <w:spacing w:val="6"/>
                <w:sz w:val="12"/>
                <w:szCs w:val="12"/>
              </w:rPr>
              <w:t xml:space="preserve">WHAT HAPPENS</w:t>
            </w:r>
          </w:p>
        </w:tc>
      </w:tr>
      <w:tr>
        <w:tc>
          <w:tcPr>
            <w:tcW w:type="dxa" w:w="18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1 — Foundation</w:t>
            </w:r>
          </w:p>
        </w:tc>
        <w:tc>
          <w:tcPr>
            <w:tcW w:type="dxa" w:w="18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Weeks 1–2</w:t>
            </w:r>
          </w:p>
        </w:tc>
        <w:tc>
          <w:tcPr>
            <w:tcW w:type="dxa" w:w="58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Pick one avatar tool (Arcads or Creatify) and one voice tool (ElevenLabs or Noiz.ai); clone Uwe's voice and, if desired, a consistent avatar, with consent on file. Lock the on-screen disclosure copy against Section 4 before anything ships.</w:t>
            </w:r>
          </w:p>
        </w:tc>
      </w:tr>
      <w:tr>
        <w:tc>
          <w:tcPr>
            <w:tcW w:type="dxa" w:w="18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2 — Content bank</w:t>
            </w:r>
          </w:p>
        </w:tc>
        <w:tc>
          <w:tcPr>
            <w:tcW w:type="dxa" w:w="18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Weeks 3–6</w:t>
            </w:r>
          </w:p>
        </w:tc>
        <w:tc>
          <w:tcPr>
            <w:tcW w:type="dxa" w:w="58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Produce one recurring “Guild Debrief” podcast format plus 10–15 short educational clips (mix of real-cloned-voice and clearly-labeled synthetic-explainer content). Publish organically; no paid spend yet.</w:t>
            </w:r>
          </w:p>
        </w:tc>
      </w:tr>
      <w:tr>
        <w:tc>
          <w:tcPr>
            <w:tcW w:type="dxa" w:w="18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3 — Paid scale</w:t>
            </w:r>
          </w:p>
        </w:tc>
        <w:tc>
          <w:tcPr>
            <w:tcW w:type="dxa" w:w="18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Week 7 onward</w:t>
            </w:r>
          </w:p>
        </w:tc>
        <w:tc>
          <w:tcPr>
            <w:tcW w:type="dxa" w:w="58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Whitelist the top-performing organic clips into Spark Ads / partnership ads at $50–100/day, 5–10 new variants weekly, tracked against the ROAS floor in Section 5. Kill and replace weekly.</w:t>
            </w:r>
          </w:p>
        </w:tc>
      </w:tr>
      <w:tr>
        <w:tc>
          <w:tcPr>
            <w:tcW w:type="dxa" w:w="18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Ongoing</w:t>
            </w:r>
          </w:p>
        </w:tc>
        <w:tc>
          <w:tcPr>
            <w:tcW w:type="dxa" w:w="180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Continuous</w:t>
            </w:r>
          </w:p>
        </w:tc>
        <w:tc>
          <w:tcPr>
            <w:tcW w:type="dxa" w:w="5860"/>
            <w:tcBorders>
              <w:top w:val="single" w:color="E5E0DB" w:sz="4"/>
              <w:left w:val="none"/>
              <w:bottom w:val="single" w:color="E5E0DB" w:sz="4"/>
              <w:right w:val="none"/>
            </w:tcBorders>
            <w:tcMar>
              <w:top w:type="dxa" w:w="80"/>
              <w:left w:type="dxa" w:w="130"/>
              <w:bottom w:type="dxa" w:w="80"/>
              <w:right w:type="dxa" w:w="130"/>
            </w:tcMar>
          </w:tcPr>
          <w:p>
            <w:r>
              <w:rPr>
                <w:rFonts w:ascii="Calibri" w:cs="Calibri" w:eastAsia="Calibri" w:hAnsi="Calibri"/>
                <w:color w:val="3D3D3D"/>
                <w:sz w:val="17"/>
                <w:szCs w:val="17"/>
              </w:rPr>
              <w:t xml:space="preserve">Quarterly disclosure/compliance check-in against whatever the FTC and state AI-advertising rules look like by then — this is the fastest-moving regulatory area touching marketing in 2026.</w:t>
            </w:r>
          </w:p>
        </w:tc>
      </w:tr>
    </w:tbl>
    <w:p>
      <w:pPr>
        <w:pBdr>
          <w:bottom w:val="single" w:color="E5E0DB" w:sz="6" w:space="4"/>
        </w:pBdr>
        <w:spacing w:after="140" w:before="340"/>
      </w:pPr>
      <w:r>
        <w:rPr>
          <w:rFonts w:ascii="Consolas" w:cs="Consolas" w:eastAsia="Consolas" w:hAnsi="Consolas"/>
          <w:b/>
          <w:bCs/>
          <w:color w:val="E8642C"/>
          <w:spacing w:val="16"/>
          <w:sz w:val="20"/>
          <w:szCs w:val="20"/>
        </w:rPr>
        <w:t xml:space="preserve">7 · WHAT COULD GO WRONG</w:t>
      </w:r>
    </w:p>
    <w:p>
      <w:pPr>
        <w:spacing w:after="60" w:line="250"/>
        <w:ind w:left="220" w:hanging="220"/>
      </w:pPr>
      <w:r>
        <w:rPr>
          <w:rFonts w:ascii="Calibri" w:cs="Calibri" w:eastAsia="Calibri" w:hAnsi="Calibri"/>
          <w:color w:val="E8642C"/>
          <w:sz w:val="12"/>
          <w:szCs w:val="12"/>
        </w:rPr>
        <w:t xml:space="preserve">■  </w:t>
      </w:r>
      <w:r>
        <w:rPr>
          <w:rFonts w:ascii="Calibri" w:cs="Calibri" w:eastAsia="Calibri" w:hAnsi="Calibri"/>
          <w:b/>
          <w:bCs/>
          <w:color w:val="1A1A1A"/>
          <w:sz w:val="19"/>
          <w:szCs w:val="19"/>
        </w:rPr>
        <w:t xml:space="preserve">Uncanny-valley backlash</w:t>
      </w:r>
      <w:r>
        <w:rPr>
          <w:rFonts w:ascii="Calibri" w:cs="Calibri" w:eastAsia="Calibri" w:hAnsi="Calibri"/>
          <w:color w:val="3D3D3D"/>
          <w:sz w:val="19"/>
          <w:szCs w:val="19"/>
        </w:rPr>
        <w:t xml:space="preserve"> — a synthetic character that's almost-but-not-quite right reads worse than an obviously-real, lower-production clip. If in doubt, favor the cloned-real-voice path over a fully invented character.</w:t>
      </w:r>
    </w:p>
    <w:p>
      <w:pPr>
        <w:spacing w:after="60" w:line="250"/>
        <w:ind w:left="220" w:hanging="220"/>
      </w:pPr>
      <w:r>
        <w:rPr>
          <w:rFonts w:ascii="Calibri" w:cs="Calibri" w:eastAsia="Calibri" w:hAnsi="Calibri"/>
          <w:color w:val="E8642C"/>
          <w:sz w:val="12"/>
          <w:szCs w:val="12"/>
        </w:rPr>
        <w:t xml:space="preserve">■  </w:t>
      </w:r>
      <w:r>
        <w:rPr>
          <w:rFonts w:ascii="Calibri" w:cs="Calibri" w:eastAsia="Calibri" w:hAnsi="Calibri"/>
          <w:b/>
          <w:bCs/>
          <w:color w:val="1A1A1A"/>
          <w:sz w:val="19"/>
          <w:szCs w:val="19"/>
        </w:rPr>
        <w:t xml:space="preserve">Disclosure exposure</w:t>
      </w:r>
      <w:r>
        <w:rPr>
          <w:rFonts w:ascii="Calibri" w:cs="Calibri" w:eastAsia="Calibri" w:hAnsi="Calibri"/>
          <w:color w:val="3D3D3D"/>
          <w:sz w:val="19"/>
          <w:szCs w:val="19"/>
        </w:rPr>
        <w:t xml:space="preserve"> — the FTC and New York have both signaled 2026 enforcement appetite specifically for synthetic performers; an undisclosed AI testimonial is the single highest-risk asset type covered in this memo. Never produce one.</w:t>
      </w:r>
    </w:p>
    <w:p>
      <w:pPr>
        <w:spacing w:after="60" w:line="250"/>
        <w:ind w:left="220" w:hanging="220"/>
      </w:pPr>
      <w:r>
        <w:rPr>
          <w:rFonts w:ascii="Calibri" w:cs="Calibri" w:eastAsia="Calibri" w:hAnsi="Calibri"/>
          <w:color w:val="E8642C"/>
          <w:sz w:val="12"/>
          <w:szCs w:val="12"/>
        </w:rPr>
        <w:t xml:space="preserve">■  </w:t>
      </w:r>
      <w:r>
        <w:rPr>
          <w:rFonts w:ascii="Calibri" w:cs="Calibri" w:eastAsia="Calibri" w:hAnsi="Calibri"/>
          <w:b/>
          <w:bCs/>
          <w:color w:val="1A1A1A"/>
          <w:sz w:val="19"/>
          <w:szCs w:val="19"/>
        </w:rPr>
        <w:t xml:space="preserve">Trust dilution</w:t>
      </w:r>
      <w:r>
        <w:rPr>
          <w:rFonts w:ascii="Calibri" w:cs="Calibri" w:eastAsia="Calibri" w:hAnsi="Calibri"/>
          <w:color w:val="3D3D3D"/>
          <w:sz w:val="19"/>
          <w:szCs w:val="19"/>
        </w:rPr>
        <w:t xml:space="preserve"> — the Guild's actual product is judgment and access, not reach. Over-indexing on synthetic volume content risks looking like every other AI-slop crypto account it needs to be distinguished from. Volume should scale a real reputation, not substitute for one.</w:t>
      </w:r>
    </w:p>
    <w:sectPr>
      <w:footerReference w:type="default" r:id="rId7"/>
      <w:pgSz w:w="12240" w:h="15840" w:orient="portrait"/>
      <w:pgMar w:top="1000" w:right="1250" w:bottom="9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6B"/>
        <w:spacing w:val="10"/>
        <w:sz w:val="10"/>
        <w:szCs w:val="10"/>
      </w:rPr>
      <w:t xml:space="preserve">TRADERS GUILD  ·  INTERNAL STRATEGY MEMO  ·  NOT LEGAL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3D3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2026-08-27T00:20:08.319Z</dcterms:created>
  <dcterms:modified xsi:type="dcterms:W3CDTF">2026-08-27T00:20:08.320Z</dcterms:modified>
</cp:coreProperties>
</file>

<file path=docProps/custom.xml><?xml version="1.0" encoding="utf-8"?>
<Properties xmlns="http://schemas.openxmlformats.org/officeDocument/2006/custom-properties" xmlns:vt="http://schemas.openxmlformats.org/officeDocument/2006/docPropsVTypes"/>
</file>