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r>
        <w:t xml:space="preserve">https://www.osgeo.org)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r>
        <w:t xml:space="preserve">(https://www.openstreetmap.org), which allows users to contribute to the</w:t>
      </w:r>
      <w:r>
        <w:t xml:space="preserve"> </w:t>
      </w:r>
      <w:r>
        <w:t xml:space="preserve">project development with code and data and freely use the maps and other</w:t>
      </w:r>
      <w:r>
        <w:t xml:space="preserve"> </w:t>
      </w:r>
      <w:r>
        <w:t xml:space="preserve">related geospatial datasets. But this example is not unique. Overall, this</w:t>
      </w:r>
      <w:r>
        <w:t xml:space="preserve"> </w:t>
      </w:r>
      <w:r>
        <w:t xml:space="preserve">approach has grown in the last 20 years and has been adopted in many different</w:t>
      </w:r>
      <w:r>
        <w:t xml:space="preserve"> </w:t>
      </w:r>
      <w:r>
        <w:t xml:space="preserve">fields. It has many benefits for both the research field that harnesses the</w:t>
      </w:r>
      <w:r>
        <w:t xml:space="preserve"> </w:t>
      </w:r>
      <w:r>
        <w:t xml:space="preserve">energy of non-scientist members of the community to engage with scientific</w:t>
      </w:r>
      <w:r>
        <w:t xml:space="preserve"> </w:t>
      </w:r>
      <w:r>
        <w:t xml:space="preserve">data, as well as to the community members themselves who can draw both</w:t>
      </w:r>
      <w:r>
        <w:t xml:space="preserve"> </w:t>
      </w:r>
      <w:r>
        <w:t xml:space="preserve">knowledge and pride in their participation in the scientific endeavor. It is</w:t>
      </w:r>
      <w:r>
        <w:t xml:space="preserve"> </w:t>
      </w:r>
      <w:r>
        <w:t xml:space="preserve">also recognized that unique broader benefits are accrued from this mode of</w:t>
      </w:r>
      <w:r>
        <w:t xml:space="preserve"> </w:t>
      </w:r>
      <w:r>
        <w:t xml:space="preserve">scientific research, through the inclusion of perspectives and data that would</w:t>
      </w:r>
      <w:r>
        <w:t xml:space="preserve"> </w:t>
      </w:r>
      <w:r>
        <w:t xml:space="preserve">not otherwise be included. To make data accessible to community scientists, and</w:t>
      </w:r>
      <w:r>
        <w:t xml:space="preserve"> </w:t>
      </w:r>
      <w:r>
        <w:t xml:space="preserve">to make the data collected by community scientists accessible to professional</w:t>
      </w:r>
      <w:r>
        <w:t xml:space="preserve"> </w:t>
      </w:r>
      <w:r>
        <w:t xml:space="preserve">scientists, it needs to be provided in a manner that can be created and</w:t>
      </w:r>
      <w:r>
        <w:t xml:space="preserve"> </w:t>
      </w:r>
      <w:r>
        <w:t xml:space="preserve">accessed without specialized instruments or specialized knowledge. Here,</w:t>
      </w:r>
      <w:r>
        <w:t xml:space="preserve"> </w:t>
      </w:r>
      <w:r>
        <w:t xml:space="preserve">standards are needed to facilitate interactions between an in-group of expert</w:t>
      </w:r>
      <w:r>
        <w:t xml:space="preserve"> </w:t>
      </w:r>
      <w:r>
        <w:t xml:space="preserve">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 The opinions expressed in this report do not necessarily reflect those</w:t>
      </w:r>
      <w:r>
        <w:t xml:space="preserve"> </w:t>
      </w:r>
      <w:r>
        <w:t xml:space="preserve">of the National Science Foundation.</w:t>
      </w:r>
    </w:p>
    <w:bookmarkEnd w:id="55"/>
    <w:bookmarkStart w:id="56" w:name="appendix-list-of-participants"/>
    <w:p>
      <w:pPr>
        <w:pStyle w:val="Heading1"/>
      </w:pPr>
      <w:r>
        <w:t xml:space="preserve">8. Appendix: List of participants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56"/>
    <w:bookmarkStart w:id="90" w:name="references"/>
    <w:p>
      <w:pPr>
        <w:pStyle w:val="Heading1"/>
      </w:pPr>
      <w:r>
        <w:t xml:space="preserve">9. References</w:t>
      </w:r>
    </w:p>
    <w:bookmarkStart w:id="89" w:name="refs"/>
    <w:bookmarkStart w:id="57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57"/>
    <w:bookmarkStart w:id="58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58"/>
    <w:bookmarkStart w:id="59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9"/>
    <w:bookmarkStart w:id="60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60"/>
    <w:bookmarkStart w:id="61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1"/>
    <w:bookmarkStart w:id="63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2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3"/>
    <w:bookmarkStart w:id="64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4"/>
    <w:bookmarkStart w:id="65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5"/>
    <w:bookmarkStart w:id="67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6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7"/>
    <w:bookmarkStart w:id="68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8"/>
    <w:bookmarkStart w:id="70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9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0"/>
    <w:bookmarkStart w:id="72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1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2"/>
    <w:bookmarkStart w:id="73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3"/>
    <w:bookmarkStart w:id="74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4"/>
    <w:bookmarkStart w:id="75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5"/>
    <w:bookmarkStart w:id="77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6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7"/>
    <w:bookmarkStart w:id="79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8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9"/>
    <w:bookmarkStart w:id="80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80"/>
    <w:bookmarkStart w:id="81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1"/>
    <w:bookmarkStart w:id="82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2"/>
    <w:bookmarkStart w:id="83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4"/>
    <w:bookmarkStart w:id="86" w:name="ref-Van-Tuyl2023-vp"/>
    <w:p>
      <w:pPr>
        <w:pStyle w:val="Bibliography"/>
      </w:pPr>
      <w:r>
        <w:t xml:space="preserve">Van Tuyl, Steve (ed ).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5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86"/>
    <w:bookmarkStart w:id="87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7"/>
    <w:bookmarkStart w:id="88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2024-10-10T20:00:15Z</dcterms:created>
  <dcterms:modified xsi:type="dcterms:W3CDTF">2024-10-10T20:00:15Z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