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48"/>
      </w:tblGrid>
      <w:tr>
        <w:tc>
          <w:tcPr>
            <w:tcW w:type="dxa" w:w="10224"/>
            <w:shd w:fill="3E5168"/>
            <w:tcMar>
              <w:top w:w="250" w:type="dxa"/>
              <w:start w:w="220" w:type="dxa"/>
              <w:bottom w:w="220" w:type="dxa"/>
              <w:end w:w="220" w:type="dxa"/>
            </w:tcMar>
          </w:tcPr>
          <w:p>
            <w:pPr>
              <w:spacing w:before="0" w:after="80" w:line="240" w:lineRule="auto"/>
            </w:pPr>
            <w:r>
              <w:rPr>
                <w:rFonts w:ascii="Carlito" w:hAnsi="Carlito"/>
                <w:b/>
                <w:color w:val="FFFFFF"/>
                <w:sz w:val="50"/>
              </w:rPr>
              <w:t>E-Commerce Profitability Analysis</w:t>
            </w:r>
          </w:p>
          <w:p>
            <w:pPr>
              <w:spacing w:before="0" w:after="40" w:line="240" w:lineRule="auto"/>
            </w:pPr>
            <w:r>
              <w:rPr>
                <w:rFonts w:ascii="Carlito" w:hAnsi="Carlito"/>
                <w:b/>
                <w:color w:val="E7EDF4"/>
                <w:sz w:val="24"/>
              </w:rPr>
              <w:t>Power BI Portfolio Case Study</w:t>
            </w:r>
          </w:p>
          <w:p>
            <w:pPr>
              <w:spacing w:before="0" w:after="0" w:line="240" w:lineRule="auto"/>
            </w:pPr>
            <w:r>
              <w:rPr>
                <w:rFonts w:ascii="Carlito" w:hAnsi="Carlito"/>
                <w:i/>
                <w:color w:val="D6E0EA"/>
                <w:sz w:val="18"/>
              </w:rPr>
              <w:t>Revenue conversion  •  value leakage  •  profit drivers  •  customer profitability</w:t>
            </w:r>
          </w:p>
        </w:tc>
      </w:tr>
    </w:tbl>
    <w:p>
      <w:pPr>
        <w:spacing w:before="0" w:after="100" w:line="240" w:lineRule="auto"/>
        <w:jc w:val="center"/>
      </w:pPr>
      <w:r>
        <w:rPr>
          <w:rFonts w:ascii="Carlito" w:hAnsi="Carlito"/>
          <w:b/>
          <w:color w:val="2D4055"/>
          <w:sz w:val="24"/>
        </w:rPr>
        <w:t>Why isn’t the business converting more of its sales into contribution margin, and where can profitability improve?</w:t>
      </w:r>
    </w:p>
    <w:p>
      <w:pPr>
        <w:spacing w:before="0" w:after="100" w:line="240" w:lineRule="auto"/>
        <w:jc w:val="center"/>
      </w:pPr>
      <w:r>
        <w:drawing>
          <wp:inline xmlns:a="http://schemas.openxmlformats.org/drawingml/2006/main" xmlns:pic="http://schemas.openxmlformats.org/drawingml/2006/picture">
            <wp:extent cx="6263640" cy="3508005"/>
            <wp:docPr id="1" name="Picture 1"/>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6263640" cy="3508005"/>
                    </a:xfrm>
                    <a:prstGeom prst="rect"/>
                  </pic:spPr>
                </pic:pic>
              </a:graphicData>
            </a:graphic>
          </wp:inline>
        </w:drawing>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477"/>
            <w:shd w:fill="EEF3F7"/>
            <w:tcMar>
              <w:top w:w="90" w:type="dxa"/>
              <w:start w:w="70" w:type="dxa"/>
              <w:bottom w:w="90" w:type="dxa"/>
              <w:end w:w="70" w:type="dxa"/>
            </w:tcMar>
          </w:tcPr>
          <w:p>
            <w:pPr>
              <w:spacing w:before="0" w:after="20" w:line="240" w:lineRule="auto"/>
              <w:jc w:val="center"/>
            </w:pPr>
            <w:r>
              <w:rPr>
                <w:rFonts w:ascii="Carlito" w:hAnsi="Carlito"/>
                <w:b/>
                <w:color w:val="B42355"/>
                <w:sz w:val="14"/>
              </w:rPr>
              <w:t>REPORT</w:t>
            </w:r>
          </w:p>
          <w:p>
            <w:pPr>
              <w:spacing w:before="0" w:after="0" w:line="240" w:lineRule="auto"/>
              <w:jc w:val="center"/>
            </w:pPr>
            <w:r>
              <w:rPr>
                <w:rFonts w:ascii="Carlito" w:hAnsi="Carlito"/>
                <w:b/>
                <w:color w:val="2D4055"/>
                <w:sz w:val="16"/>
              </w:rPr>
              <w:t>4 pages</w:t>
            </w:r>
          </w:p>
        </w:tc>
        <w:tc>
          <w:tcPr>
            <w:tcW w:type="dxa" w:w="2477"/>
            <w:shd w:fill="EEF3F7"/>
            <w:tcMar>
              <w:top w:w="90" w:type="dxa"/>
              <w:start w:w="70" w:type="dxa"/>
              <w:bottom w:w="90" w:type="dxa"/>
              <w:end w:w="70" w:type="dxa"/>
            </w:tcMar>
          </w:tcPr>
          <w:p>
            <w:pPr>
              <w:spacing w:before="0" w:after="20" w:line="240" w:lineRule="auto"/>
              <w:jc w:val="center"/>
            </w:pPr>
            <w:r>
              <w:rPr>
                <w:rFonts w:ascii="Carlito" w:hAnsi="Carlito"/>
                <w:b/>
                <w:color w:val="B42355"/>
                <w:sz w:val="14"/>
              </w:rPr>
              <w:t>PERIOD</w:t>
            </w:r>
          </w:p>
          <w:p>
            <w:pPr>
              <w:spacing w:before="0" w:after="0" w:line="240" w:lineRule="auto"/>
              <w:jc w:val="center"/>
            </w:pPr>
            <w:r>
              <w:rPr>
                <w:rFonts w:ascii="Carlito" w:hAnsi="Carlito"/>
                <w:b/>
                <w:color w:val="2D4055"/>
                <w:sz w:val="16"/>
              </w:rPr>
              <w:t>2024–2025</w:t>
            </w:r>
          </w:p>
        </w:tc>
        <w:tc>
          <w:tcPr>
            <w:tcW w:type="dxa" w:w="2477"/>
            <w:shd w:fill="EEF3F7"/>
            <w:tcMar>
              <w:top w:w="90" w:type="dxa"/>
              <w:start w:w="70" w:type="dxa"/>
              <w:bottom w:w="90" w:type="dxa"/>
              <w:end w:w="70" w:type="dxa"/>
            </w:tcMar>
          </w:tcPr>
          <w:p>
            <w:pPr>
              <w:spacing w:before="0" w:after="20" w:line="240" w:lineRule="auto"/>
              <w:jc w:val="center"/>
            </w:pPr>
            <w:r>
              <w:rPr>
                <w:rFonts w:ascii="Carlito" w:hAnsi="Carlito"/>
                <w:b/>
                <w:color w:val="B42355"/>
                <w:sz w:val="14"/>
              </w:rPr>
              <w:t>TOOLS</w:t>
            </w:r>
          </w:p>
          <w:p>
            <w:pPr>
              <w:spacing w:before="0" w:after="0" w:line="240" w:lineRule="auto"/>
              <w:jc w:val="center"/>
            </w:pPr>
            <w:r>
              <w:rPr>
                <w:rFonts w:ascii="Carlito" w:hAnsi="Carlito"/>
                <w:b/>
                <w:color w:val="2D4055"/>
                <w:sz w:val="16"/>
              </w:rPr>
              <w:t>Power BI · DAX</w:t>
            </w:r>
          </w:p>
        </w:tc>
        <w:tc>
          <w:tcPr>
            <w:tcW w:type="dxa" w:w="2477"/>
            <w:shd w:fill="EEF3F7"/>
            <w:tcMar>
              <w:top w:w="90" w:type="dxa"/>
              <w:start w:w="70" w:type="dxa"/>
              <w:bottom w:w="90" w:type="dxa"/>
              <w:end w:w="70" w:type="dxa"/>
            </w:tcMar>
          </w:tcPr>
          <w:p>
            <w:pPr>
              <w:spacing w:before="0" w:after="20" w:line="240" w:lineRule="auto"/>
              <w:jc w:val="center"/>
            </w:pPr>
            <w:r>
              <w:rPr>
                <w:rFonts w:ascii="Carlito" w:hAnsi="Carlito"/>
                <w:b/>
                <w:color w:val="B42355"/>
                <w:sz w:val="14"/>
              </w:rPr>
              <w:t>DESIGN</w:t>
            </w:r>
          </w:p>
          <w:p>
            <w:pPr>
              <w:spacing w:before="0" w:after="0" w:line="240" w:lineRule="auto"/>
              <w:jc w:val="center"/>
            </w:pPr>
            <w:r>
              <w:rPr>
                <w:rFonts w:ascii="Carlito" w:hAnsi="Carlito"/>
                <w:b/>
                <w:color w:val="2D4055"/>
                <w:sz w:val="16"/>
              </w:rPr>
              <w:t>ZoomCharts · Star schema</w:t>
            </w:r>
          </w:p>
        </w:tc>
      </w:tr>
    </w:tbl>
    <w:p>
      <w:r>
        <w:br w:type="page"/>
      </w:r>
    </w:p>
    <w:p>
      <w:pPr>
        <w:spacing w:before="0" w:after="20" w:line="240" w:lineRule="auto"/>
      </w:pPr>
      <w:r>
        <w:rPr>
          <w:rFonts w:ascii="Carlito" w:hAnsi="Carlito"/>
          <w:b/>
          <w:color w:val="2D4055"/>
          <w:sz w:val="36"/>
        </w:rPr>
        <w:t>Executive Summary</w:t>
      </w:r>
    </w:p>
    <w:p>
      <w:pPr>
        <w:spacing w:before="0" w:after="140" w:line="240" w:lineRule="auto"/>
      </w:pPr>
      <w:r>
        <w:rPr>
          <w:rFonts w:ascii="Carlito" w:hAnsi="Carlito"/>
          <w:i/>
          <w:color w:val="6B7280"/>
          <w:sz w:val="19"/>
        </w:rPr>
        <w:t>Turning sales performance into a profitability diagnosis</w:t>
      </w:r>
    </w:p>
    <w:p>
      <w:pPr>
        <w:keepNext/>
        <w:spacing w:before="80" w:after="60" w:line="240" w:lineRule="auto"/>
      </w:pPr>
      <w:r>
        <w:rPr>
          <w:rFonts w:ascii="Carlito" w:hAnsi="Carlito"/>
          <w:b/>
          <w:color w:val="2D4055"/>
          <w:sz w:val="23"/>
        </w:rPr>
        <w:t>Project purpose</w:t>
      </w:r>
    </w:p>
    <w:p>
      <w:pPr>
        <w:spacing w:before="0" w:after="80" w:line="252" w:lineRule="auto"/>
      </w:pPr>
      <w:r>
        <w:rPr>
          <w:rFonts w:ascii="Carlito" w:hAnsi="Carlito"/>
          <w:color w:val="252A31"/>
          <w:sz w:val="18"/>
        </w:rPr>
        <w:t>This project analyses an e-commerce business from Gross Sales through to Contribution Margin to understand why revenue is not translating into stronger profitability. Rather than treating sales performance as the end result, the report separates the problem into four management questions.</w:t>
      </w:r>
    </w:p>
    <w:tbl>
      <w:tblPr>
        <w:tblW w:type="auto" w:w="0"/>
        <w:jc w:val="center"/>
        <w:tblLayout w:type="fixed"/>
        <w:tblLook w:firstColumn="1" w:firstRow="1" w:lastColumn="0" w:lastRow="0" w:noHBand="0" w:noVBand="1" w:val="04A0"/>
      </w:tblPr>
      <w:tblGrid>
        <w:gridCol w:w="10148"/>
      </w:tblGrid>
      <w:tr>
        <w:tc>
          <w:tcPr>
            <w:tcW w:type="dxa" w:w="10224"/>
            <w:shd w:fill="F8EAF0"/>
            <w:tcBorders>
              <w:top w:val="nil"/>
              <w:left w:val="single" w:sz="18" w:color="B42355"/>
              <w:bottom w:val="nil"/>
              <w:right w:val="nil"/>
            </w:tcBorders>
            <w:tcMar>
              <w:top w:w="100" w:type="dxa"/>
              <w:start w:w="130" w:type="dxa"/>
              <w:bottom w:w="100" w:type="dxa"/>
              <w:end w:w="120" w:type="dxa"/>
            </w:tcMar>
          </w:tcPr>
          <w:p>
            <w:pPr>
              <w:spacing w:before="0" w:after="40" w:line="240" w:lineRule="auto"/>
            </w:pPr>
            <w:r>
              <w:rPr>
                <w:rFonts w:ascii="Carlito" w:hAnsi="Carlito"/>
                <w:b/>
                <w:color w:val="2D4055"/>
                <w:sz w:val="18"/>
              </w:rPr>
              <w:t>Analytical journey</w:t>
            </w:r>
          </w:p>
          <w:p>
            <w:pPr>
              <w:spacing w:before="0" w:after="0" w:line="252" w:lineRule="auto"/>
            </w:pPr>
            <w:r>
              <w:rPr>
                <w:rFonts w:ascii="Carlito" w:hAnsi="Carlito"/>
                <w:color w:val="252A31"/>
                <w:sz w:val="18"/>
              </w:rPr>
              <w:t>How profitable is the business?  →  Where is value leaking?  →  What drives profit?  →  Are customers creating sustainable value?</w:t>
            </w:r>
          </w:p>
        </w:tc>
      </w:tr>
    </w:tbl>
    <w:p>
      <w:pPr>
        <w:keepNext/>
        <w:spacing w:before="80" w:after="60" w:line="240" w:lineRule="auto"/>
      </w:pPr>
      <w:r>
        <w:rPr>
          <w:rFonts w:ascii="Carlito" w:hAnsi="Carlito"/>
          <w:b/>
          <w:color w:val="2D4055"/>
          <w:sz w:val="23"/>
        </w:rPr>
        <w:t>What I delivered</w:t>
      </w:r>
    </w:p>
    <w:p>
      <w:pPr>
        <w:pStyle w:val="ListBullet"/>
        <w:spacing w:before="0" w:after="44" w:line="245" w:lineRule="auto"/>
        <w:ind w:left="259" w:hanging="173"/>
      </w:pPr>
      <w:r>
        <w:rPr>
          <w:rFonts w:ascii="Carlito" w:hAnsi="Carlito"/>
          <w:color w:val="252A31"/>
          <w:sz w:val="17"/>
        </w:rPr>
        <w:t>A four-page Power BI report covering Executive Overview, Value Leakage, Profit Drivers and Customer Profitability.</w:t>
      </w:r>
    </w:p>
    <w:p>
      <w:pPr>
        <w:pStyle w:val="ListBullet"/>
        <w:spacing w:before="0" w:after="44" w:line="245" w:lineRule="auto"/>
        <w:ind w:left="259" w:hanging="173"/>
      </w:pPr>
      <w:r>
        <w:rPr>
          <w:rFonts w:ascii="Carlito" w:hAnsi="Carlito"/>
          <w:color w:val="252A31"/>
          <w:sz w:val="17"/>
        </w:rPr>
        <w:t>A star-schema model connecting transactions with products, customers, geography, sales channels, promotions, fulfilment and return reasons.</w:t>
      </w:r>
    </w:p>
    <w:p>
      <w:pPr>
        <w:pStyle w:val="ListBullet"/>
        <w:spacing w:before="0" w:after="44" w:line="245" w:lineRule="auto"/>
        <w:ind w:left="259" w:hanging="173"/>
      </w:pPr>
      <w:r>
        <w:rPr>
          <w:rFonts w:ascii="Carlito" w:hAnsi="Carlito"/>
          <w:color w:val="252A31"/>
          <w:sz w:val="17"/>
        </w:rPr>
        <w:t>Reusable DAX measures covering revenue, contribution margin, returns, lost sales, discounting, fulfilment, acquisition and repeat-customer economics.</w:t>
      </w:r>
    </w:p>
    <w:p>
      <w:pPr>
        <w:pStyle w:val="ListBullet"/>
        <w:spacing w:before="0" w:after="44" w:line="245" w:lineRule="auto"/>
        <w:ind w:left="259" w:hanging="173"/>
      </w:pPr>
      <w:r>
        <w:rPr>
          <w:rFonts w:ascii="Carlito" w:hAnsi="Carlito"/>
          <w:color w:val="252A31"/>
          <w:sz w:val="17"/>
        </w:rPr>
        <w:t>Drill-down hierarchies, interactive navigation, dynamic time controls and contextual KPI reference labels.</w:t>
      </w:r>
    </w:p>
    <w:p>
      <w:pPr>
        <w:pStyle w:val="ListBullet"/>
        <w:spacing w:before="0" w:after="44" w:line="245" w:lineRule="auto"/>
        <w:ind w:left="259" w:hanging="173"/>
      </w:pPr>
      <w:r>
        <w:rPr>
          <w:rFonts w:ascii="Carlito" w:hAnsi="Carlito"/>
          <w:color w:val="252A31"/>
          <w:sz w:val="17"/>
        </w:rPr>
        <w:t>A profitability narrative that separates value creation from value leakage rather than relying on sales totals alone.</w:t>
      </w:r>
    </w:p>
    <w:p>
      <w:pPr>
        <w:keepNext/>
        <w:spacing w:before="80" w:after="60" w:line="240" w:lineRule="auto"/>
      </w:pPr>
      <w:r>
        <w:rPr>
          <w:rFonts w:ascii="Carlito" w:hAnsi="Carlito"/>
          <w:b/>
          <w:color w:val="2D4055"/>
          <w:sz w:val="23"/>
        </w:rPr>
        <w:t>Headline results</w:t>
      </w:r>
    </w:p>
    <w:tbl>
      <w:tblPr>
        <w:tblW w:type="auto" w:w="0"/>
        <w:jc w:val="center"/>
        <w:tblLayout w:type="fixed"/>
        <w:tblLook w:firstColumn="1" w:firstRow="1" w:lastColumn="0" w:lastRow="0" w:noHBand="0" w:noVBand="1" w:val="04A0"/>
      </w:tblPr>
      <w:tblGrid>
        <w:gridCol w:w="5074"/>
        <w:gridCol w:w="5074"/>
      </w:tblGrid>
      <w:tr>
        <w:tc>
          <w:tcPr>
            <w:tcW w:type="dxa" w:w="4464"/>
            <w:tcMar>
              <w:top w:w="55" w:type="dxa"/>
              <w:start w:w="80" w:type="dxa"/>
              <w:bottom w:w="55" w:type="dxa"/>
              <w:end w:w="80" w:type="dxa"/>
            </w:tcMar>
            <w:shd w:fill="FFFFFF"/>
            <w:tcBorders>
              <w:bottom w:val="single" w:sz="2" w:color="D8E0E7"/>
            </w:tcBorders>
          </w:tcPr>
          <w:p>
            <w:pPr>
              <w:spacing w:before="0" w:after="0" w:line="240" w:lineRule="auto"/>
            </w:pPr>
            <w:r>
              <w:rPr>
                <w:rFonts w:ascii="Carlito" w:hAnsi="Carlito"/>
                <w:b/>
                <w:color w:val="2D4055"/>
                <w:sz w:val="17"/>
              </w:rPr>
              <w:t>Gross Sales</w:t>
            </w:r>
          </w:p>
        </w:tc>
        <w:tc>
          <w:tcPr>
            <w:tcW w:type="dxa" w:w="5472"/>
            <w:tcMar>
              <w:top w:w="55" w:type="dxa"/>
              <w:start w:w="80" w:type="dxa"/>
              <w:bottom w:w="55" w:type="dxa"/>
              <w:end w:w="80" w:type="dxa"/>
            </w:tcMar>
            <w:shd w:fill="FFFFFF"/>
            <w:tcBorders>
              <w:bottom w:val="single" w:sz="2" w:color="D8E0E7"/>
            </w:tcBorders>
          </w:tcPr>
          <w:p>
            <w:pPr>
              <w:spacing w:before="0" w:after="0" w:line="240" w:lineRule="auto"/>
            </w:pPr>
            <w:r>
              <w:rPr>
                <w:rFonts w:ascii="Carlito" w:hAnsi="Carlito"/>
                <w:color w:val="252A31"/>
                <w:sz w:val="17"/>
              </w:rPr>
              <w:t>€789,191</w:t>
            </w:r>
          </w:p>
        </w:tc>
      </w:tr>
      <w:tr>
        <w:tc>
          <w:tcPr>
            <w:tcW w:type="dxa" w:w="4464"/>
            <w:tcMar>
              <w:top w:w="55" w:type="dxa"/>
              <w:start w:w="80" w:type="dxa"/>
              <w:bottom w:w="55" w:type="dxa"/>
              <w:end w:w="80" w:type="dxa"/>
            </w:tcMar>
            <w:shd w:fill="F7F9FB"/>
            <w:tcBorders>
              <w:bottom w:val="single" w:sz="2" w:color="D8E0E7"/>
            </w:tcBorders>
          </w:tcPr>
          <w:p>
            <w:pPr>
              <w:spacing w:before="0" w:after="0" w:line="240" w:lineRule="auto"/>
            </w:pPr>
            <w:r>
              <w:rPr>
                <w:rFonts w:ascii="Carlito" w:hAnsi="Carlito"/>
                <w:b/>
                <w:color w:val="2D4055"/>
                <w:sz w:val="17"/>
              </w:rPr>
              <w:t>Net Sales</w:t>
            </w:r>
          </w:p>
        </w:tc>
        <w:tc>
          <w:tcPr>
            <w:tcW w:type="dxa" w:w="5472"/>
            <w:tcMar>
              <w:top w:w="55" w:type="dxa"/>
              <w:start w:w="80" w:type="dxa"/>
              <w:bottom w:w="55" w:type="dxa"/>
              <w:end w:w="80" w:type="dxa"/>
            </w:tcMar>
            <w:shd w:fill="F7F9FB"/>
            <w:tcBorders>
              <w:bottom w:val="single" w:sz="2" w:color="D8E0E7"/>
            </w:tcBorders>
          </w:tcPr>
          <w:p>
            <w:pPr>
              <w:spacing w:before="0" w:after="0" w:line="240" w:lineRule="auto"/>
            </w:pPr>
            <w:r>
              <w:rPr>
                <w:rFonts w:ascii="Carlito" w:hAnsi="Carlito"/>
                <w:color w:val="252A31"/>
                <w:sz w:val="17"/>
              </w:rPr>
              <w:t>€640,422</w:t>
            </w:r>
          </w:p>
        </w:tc>
      </w:tr>
      <w:tr>
        <w:tc>
          <w:tcPr>
            <w:tcW w:type="dxa" w:w="4464"/>
            <w:tcMar>
              <w:top w:w="55" w:type="dxa"/>
              <w:start w:w="80" w:type="dxa"/>
              <w:bottom w:w="55" w:type="dxa"/>
              <w:end w:w="80" w:type="dxa"/>
            </w:tcMar>
            <w:shd w:fill="FFFFFF"/>
            <w:tcBorders>
              <w:bottom w:val="single" w:sz="2" w:color="D8E0E7"/>
            </w:tcBorders>
          </w:tcPr>
          <w:p>
            <w:pPr>
              <w:spacing w:before="0" w:after="0" w:line="240" w:lineRule="auto"/>
            </w:pPr>
            <w:r>
              <w:rPr>
                <w:rFonts w:ascii="Carlito" w:hAnsi="Carlito"/>
                <w:b/>
                <w:color w:val="2D4055"/>
                <w:sz w:val="17"/>
              </w:rPr>
              <w:t>Contribution Revenue</w:t>
            </w:r>
          </w:p>
        </w:tc>
        <w:tc>
          <w:tcPr>
            <w:tcW w:type="dxa" w:w="5472"/>
            <w:tcMar>
              <w:top w:w="55" w:type="dxa"/>
              <w:start w:w="80" w:type="dxa"/>
              <w:bottom w:w="55" w:type="dxa"/>
              <w:end w:w="80" w:type="dxa"/>
            </w:tcMar>
            <w:shd w:fill="FFFFFF"/>
            <w:tcBorders>
              <w:bottom w:val="single" w:sz="2" w:color="D8E0E7"/>
            </w:tcBorders>
          </w:tcPr>
          <w:p>
            <w:pPr>
              <w:spacing w:before="0" w:after="0" w:line="240" w:lineRule="auto"/>
            </w:pPr>
            <w:r>
              <w:rPr>
                <w:rFonts w:ascii="Carlito" w:hAnsi="Carlito"/>
                <w:color w:val="252A31"/>
                <w:sz w:val="17"/>
              </w:rPr>
              <w:t>€657,207</w:t>
            </w:r>
          </w:p>
        </w:tc>
      </w:tr>
      <w:tr>
        <w:tc>
          <w:tcPr>
            <w:tcW w:type="dxa" w:w="4464"/>
            <w:tcMar>
              <w:top w:w="55" w:type="dxa"/>
              <w:start w:w="80" w:type="dxa"/>
              <w:bottom w:w="55" w:type="dxa"/>
              <w:end w:w="80" w:type="dxa"/>
            </w:tcMar>
            <w:shd w:fill="F7F9FB"/>
            <w:tcBorders>
              <w:bottom w:val="single" w:sz="2" w:color="D8E0E7"/>
            </w:tcBorders>
          </w:tcPr>
          <w:p>
            <w:pPr>
              <w:spacing w:before="0" w:after="0" w:line="240" w:lineRule="auto"/>
            </w:pPr>
            <w:r>
              <w:rPr>
                <w:rFonts w:ascii="Carlito" w:hAnsi="Carlito"/>
                <w:b/>
                <w:color w:val="2D4055"/>
                <w:sz w:val="17"/>
              </w:rPr>
              <w:t>Contribution Margin</w:t>
            </w:r>
          </w:p>
        </w:tc>
        <w:tc>
          <w:tcPr>
            <w:tcW w:type="dxa" w:w="5472"/>
            <w:tcMar>
              <w:top w:w="55" w:type="dxa"/>
              <w:start w:w="80" w:type="dxa"/>
              <w:bottom w:w="55" w:type="dxa"/>
              <w:end w:w="80" w:type="dxa"/>
            </w:tcMar>
            <w:shd w:fill="F7F9FB"/>
            <w:tcBorders>
              <w:bottom w:val="single" w:sz="2" w:color="D8E0E7"/>
            </w:tcBorders>
          </w:tcPr>
          <w:p>
            <w:pPr>
              <w:spacing w:before="0" w:after="0" w:line="240" w:lineRule="auto"/>
            </w:pPr>
            <w:r>
              <w:rPr>
                <w:rFonts w:ascii="Carlito" w:hAnsi="Carlito"/>
                <w:color w:val="252A31"/>
                <w:sz w:val="17"/>
              </w:rPr>
              <w:t>€127,652</w:t>
            </w:r>
          </w:p>
        </w:tc>
      </w:tr>
      <w:tr>
        <w:tc>
          <w:tcPr>
            <w:tcW w:type="dxa" w:w="4464"/>
            <w:tcMar>
              <w:top w:w="55" w:type="dxa"/>
              <w:start w:w="80" w:type="dxa"/>
              <w:bottom w:w="55" w:type="dxa"/>
              <w:end w:w="80" w:type="dxa"/>
            </w:tcMar>
            <w:shd w:fill="FFFFFF"/>
            <w:tcBorders>
              <w:bottom w:val="single" w:sz="2" w:color="D8E0E7"/>
            </w:tcBorders>
          </w:tcPr>
          <w:p>
            <w:pPr>
              <w:spacing w:before="0" w:after="0" w:line="240" w:lineRule="auto"/>
            </w:pPr>
            <w:r>
              <w:rPr>
                <w:rFonts w:ascii="Carlito" w:hAnsi="Carlito"/>
                <w:b/>
                <w:color w:val="2D4055"/>
                <w:sz w:val="17"/>
              </w:rPr>
              <w:t>Contribution Margin Rate</w:t>
            </w:r>
          </w:p>
        </w:tc>
        <w:tc>
          <w:tcPr>
            <w:tcW w:type="dxa" w:w="5472"/>
            <w:tcMar>
              <w:top w:w="55" w:type="dxa"/>
              <w:start w:w="80" w:type="dxa"/>
              <w:bottom w:w="55" w:type="dxa"/>
              <w:end w:w="80" w:type="dxa"/>
            </w:tcMar>
            <w:shd w:fill="FFFFFF"/>
            <w:tcBorders>
              <w:bottom w:val="single" w:sz="2" w:color="D8E0E7"/>
            </w:tcBorders>
          </w:tcPr>
          <w:p>
            <w:pPr>
              <w:spacing w:before="0" w:after="0" w:line="240" w:lineRule="auto"/>
            </w:pPr>
            <w:r>
              <w:rPr>
                <w:rFonts w:ascii="Carlito" w:hAnsi="Carlito"/>
                <w:color w:val="252A31"/>
                <w:sz w:val="17"/>
              </w:rPr>
              <w:t>19.4%</w:t>
            </w:r>
          </w:p>
        </w:tc>
      </w:tr>
      <w:tr>
        <w:tc>
          <w:tcPr>
            <w:tcW w:type="dxa" w:w="4464"/>
            <w:tcMar>
              <w:top w:w="55" w:type="dxa"/>
              <w:start w:w="80" w:type="dxa"/>
              <w:bottom w:w="55" w:type="dxa"/>
              <w:end w:w="80" w:type="dxa"/>
            </w:tcMar>
            <w:shd w:fill="F7F9FB"/>
            <w:tcBorders>
              <w:bottom w:val="single" w:sz="2" w:color="D8E0E7"/>
            </w:tcBorders>
          </w:tcPr>
          <w:p>
            <w:pPr>
              <w:spacing w:before="0" w:after="0" w:line="240" w:lineRule="auto"/>
            </w:pPr>
            <w:r>
              <w:rPr>
                <w:rFonts w:ascii="Carlito" w:hAnsi="Carlito"/>
                <w:b/>
                <w:color w:val="2D4055"/>
                <w:sz w:val="17"/>
              </w:rPr>
              <w:t>Product Cost Rate</w:t>
            </w:r>
          </w:p>
        </w:tc>
        <w:tc>
          <w:tcPr>
            <w:tcW w:type="dxa" w:w="5472"/>
            <w:tcMar>
              <w:top w:w="55" w:type="dxa"/>
              <w:start w:w="80" w:type="dxa"/>
              <w:bottom w:w="55" w:type="dxa"/>
              <w:end w:w="80" w:type="dxa"/>
            </w:tcMar>
            <w:shd w:fill="F7F9FB"/>
            <w:tcBorders>
              <w:bottom w:val="single" w:sz="2" w:color="D8E0E7"/>
            </w:tcBorders>
          </w:tcPr>
          <w:p>
            <w:pPr>
              <w:spacing w:before="0" w:after="0" w:line="240" w:lineRule="auto"/>
            </w:pPr>
            <w:r>
              <w:rPr>
                <w:rFonts w:ascii="Carlito" w:hAnsi="Carlito"/>
                <w:color w:val="252A31"/>
                <w:sz w:val="17"/>
              </w:rPr>
              <w:t>49.0% of Gross Sales</w:t>
            </w:r>
          </w:p>
        </w:tc>
      </w:tr>
      <w:tr>
        <w:tc>
          <w:tcPr>
            <w:tcW w:type="dxa" w:w="4464"/>
            <w:tcMar>
              <w:top w:w="55" w:type="dxa"/>
              <w:start w:w="80" w:type="dxa"/>
              <w:bottom w:w="55" w:type="dxa"/>
              <w:end w:w="80" w:type="dxa"/>
            </w:tcMar>
            <w:shd w:fill="FFFFFF"/>
            <w:tcBorders>
              <w:bottom w:val="single" w:sz="2" w:color="D8E0E7"/>
            </w:tcBorders>
          </w:tcPr>
          <w:p>
            <w:pPr>
              <w:spacing w:before="0" w:after="0" w:line="240" w:lineRule="auto"/>
            </w:pPr>
            <w:r>
              <w:rPr>
                <w:rFonts w:ascii="Carlito" w:hAnsi="Carlito"/>
                <w:b/>
                <w:color w:val="2D4055"/>
                <w:sz w:val="17"/>
              </w:rPr>
              <w:t>Discount Cost</w:t>
            </w:r>
          </w:p>
        </w:tc>
        <w:tc>
          <w:tcPr>
            <w:tcW w:type="dxa" w:w="5472"/>
            <w:tcMar>
              <w:top w:w="55" w:type="dxa"/>
              <w:start w:w="80" w:type="dxa"/>
              <w:bottom w:w="55" w:type="dxa"/>
              <w:end w:w="80" w:type="dxa"/>
            </w:tcMar>
            <w:shd w:fill="FFFFFF"/>
            <w:tcBorders>
              <w:bottom w:val="single" w:sz="2" w:color="D8E0E7"/>
            </w:tcBorders>
          </w:tcPr>
          <w:p>
            <w:pPr>
              <w:spacing w:before="0" w:after="0" w:line="240" w:lineRule="auto"/>
            </w:pPr>
            <w:r>
              <w:rPr>
                <w:rFonts w:ascii="Carlito" w:hAnsi="Carlito"/>
                <w:color w:val="252A31"/>
                <w:sz w:val="17"/>
              </w:rPr>
              <w:t>€77,513</w:t>
            </w:r>
          </w:p>
        </w:tc>
      </w:tr>
      <w:tr>
        <w:tc>
          <w:tcPr>
            <w:tcW w:type="dxa" w:w="4464"/>
            <w:tcMar>
              <w:top w:w="55" w:type="dxa"/>
              <w:start w:w="80" w:type="dxa"/>
              <w:bottom w:w="55" w:type="dxa"/>
              <w:end w:w="80" w:type="dxa"/>
            </w:tcMar>
            <w:shd w:fill="F7F9FB"/>
            <w:tcBorders>
              <w:bottom w:val="single" w:sz="2" w:color="D8E0E7"/>
            </w:tcBorders>
          </w:tcPr>
          <w:p>
            <w:pPr>
              <w:spacing w:before="0" w:after="0" w:line="240" w:lineRule="auto"/>
            </w:pPr>
            <w:r>
              <w:rPr>
                <w:rFonts w:ascii="Carlito" w:hAnsi="Carlito"/>
                <w:b/>
                <w:color w:val="2D4055"/>
                <w:sz w:val="17"/>
              </w:rPr>
              <w:t>Return Cost</w:t>
            </w:r>
          </w:p>
        </w:tc>
        <w:tc>
          <w:tcPr>
            <w:tcW w:type="dxa" w:w="5472"/>
            <w:tcMar>
              <w:top w:w="55" w:type="dxa"/>
              <w:start w:w="80" w:type="dxa"/>
              <w:bottom w:w="55" w:type="dxa"/>
              <w:end w:w="80" w:type="dxa"/>
            </w:tcMar>
            <w:shd w:fill="F7F9FB"/>
            <w:tcBorders>
              <w:bottom w:val="single" w:sz="2" w:color="D8E0E7"/>
            </w:tcBorders>
          </w:tcPr>
          <w:p>
            <w:pPr>
              <w:spacing w:before="0" w:after="0" w:line="240" w:lineRule="auto"/>
            </w:pPr>
            <w:r>
              <w:rPr>
                <w:rFonts w:ascii="Carlito" w:hAnsi="Carlito"/>
                <w:color w:val="252A31"/>
                <w:sz w:val="17"/>
              </w:rPr>
              <w:t>€102,898</w:t>
            </w:r>
          </w:p>
        </w:tc>
      </w:tr>
      <w:tr>
        <w:tc>
          <w:tcPr>
            <w:tcW w:type="dxa" w:w="4464"/>
            <w:tcMar>
              <w:top w:w="55" w:type="dxa"/>
              <w:start w:w="80" w:type="dxa"/>
              <w:bottom w:w="55" w:type="dxa"/>
              <w:end w:w="80" w:type="dxa"/>
            </w:tcMar>
            <w:shd w:fill="FFFFFF"/>
            <w:tcBorders>
              <w:bottom w:val="single" w:sz="2" w:color="D8E0E7"/>
            </w:tcBorders>
          </w:tcPr>
          <w:p>
            <w:pPr>
              <w:spacing w:before="0" w:after="0" w:line="240" w:lineRule="auto"/>
            </w:pPr>
            <w:r>
              <w:rPr>
                <w:rFonts w:ascii="Carlito" w:hAnsi="Carlito"/>
                <w:b/>
                <w:color w:val="2D4055"/>
                <w:sz w:val="17"/>
              </w:rPr>
              <w:t>Lost Sales Value</w:t>
            </w:r>
          </w:p>
        </w:tc>
        <w:tc>
          <w:tcPr>
            <w:tcW w:type="dxa" w:w="5472"/>
            <w:tcMar>
              <w:top w:w="55" w:type="dxa"/>
              <w:start w:w="80" w:type="dxa"/>
              <w:bottom w:w="55" w:type="dxa"/>
              <w:end w:w="80" w:type="dxa"/>
            </w:tcMar>
            <w:shd w:fill="FFFFFF"/>
            <w:tcBorders>
              <w:bottom w:val="single" w:sz="2" w:color="D8E0E7"/>
            </w:tcBorders>
          </w:tcPr>
          <w:p>
            <w:pPr>
              <w:spacing w:before="0" w:after="0" w:line="240" w:lineRule="auto"/>
            </w:pPr>
            <w:r>
              <w:rPr>
                <w:rFonts w:ascii="Carlito" w:hAnsi="Carlito"/>
                <w:color w:val="252A31"/>
                <w:sz w:val="17"/>
              </w:rPr>
              <w:t>€36,715</w:t>
            </w:r>
          </w:p>
        </w:tc>
      </w:tr>
      <w:tr>
        <w:tc>
          <w:tcPr>
            <w:tcW w:type="dxa" w:w="4464"/>
            <w:tcMar>
              <w:top w:w="55" w:type="dxa"/>
              <w:start w:w="80" w:type="dxa"/>
              <w:bottom w:w="55" w:type="dxa"/>
              <w:end w:w="80" w:type="dxa"/>
            </w:tcMar>
            <w:shd w:fill="F7F9FB"/>
            <w:tcBorders>
              <w:bottom w:val="single" w:sz="2" w:color="D8E0E7"/>
            </w:tcBorders>
          </w:tcPr>
          <w:p>
            <w:pPr>
              <w:spacing w:before="0" w:after="0" w:line="240" w:lineRule="auto"/>
            </w:pPr>
            <w:r>
              <w:rPr>
                <w:rFonts w:ascii="Carlito" w:hAnsi="Carlito"/>
                <w:b/>
                <w:color w:val="2D4055"/>
                <w:sz w:val="17"/>
              </w:rPr>
              <w:t>Repeat Contribution Margin</w:t>
            </w:r>
          </w:p>
        </w:tc>
        <w:tc>
          <w:tcPr>
            <w:tcW w:type="dxa" w:w="5472"/>
            <w:tcMar>
              <w:top w:w="55" w:type="dxa"/>
              <w:start w:w="80" w:type="dxa"/>
              <w:bottom w:w="55" w:type="dxa"/>
              <w:end w:w="80" w:type="dxa"/>
            </w:tcMar>
            <w:shd w:fill="F7F9FB"/>
            <w:tcBorders>
              <w:bottom w:val="single" w:sz="2" w:color="D8E0E7"/>
            </w:tcBorders>
          </w:tcPr>
          <w:p>
            <w:pPr>
              <w:spacing w:before="0" w:after="0" w:line="240" w:lineRule="auto"/>
            </w:pPr>
            <w:r>
              <w:rPr>
                <w:rFonts w:ascii="Carlito" w:hAnsi="Carlito"/>
                <w:color w:val="252A31"/>
                <w:sz w:val="17"/>
              </w:rPr>
              <w:t>€95,028 — 74.4% of total contribution margin</w:t>
            </w:r>
          </w:p>
        </w:tc>
      </w:tr>
    </w:tbl>
    <w:p>
      <w:pPr>
        <w:keepNext/>
        <w:spacing w:before="80" w:after="60" w:line="240" w:lineRule="auto"/>
      </w:pPr>
      <w:r>
        <w:rPr>
          <w:rFonts w:ascii="Carlito" w:hAnsi="Carlito"/>
          <w:b/>
          <w:color w:val="2D4055"/>
          <w:sz w:val="23"/>
        </w:rPr>
        <w:t>Portfolio summary</w:t>
      </w:r>
    </w:p>
    <w:p>
      <w:pPr>
        <w:spacing w:before="0" w:after="80" w:line="252" w:lineRule="auto"/>
      </w:pPr>
      <w:r>
        <w:rPr>
          <w:rFonts w:ascii="Carlito" w:hAnsi="Carlito"/>
          <w:color w:val="252A31"/>
          <w:sz w:val="18"/>
        </w:rPr>
        <w:t>The analysis shows that strong sales alone do not guarantee strong profitability. Almost half of Gross Sales is absorbed by product cost, while discounts, returns, lost sales and transaction-related costs create further pressure on margin. Profitability also varies materially by product mix, sales channel and geographic market, while repeat purchasing is a major contributor to customer economics.</w:t>
      </w:r>
    </w:p>
    <w:p>
      <w:r>
        <w:br w:type="page"/>
      </w:r>
    </w:p>
    <w:p>
      <w:pPr>
        <w:keepNext/>
        <w:spacing w:before="0" w:after="20" w:line="240" w:lineRule="auto"/>
      </w:pPr>
      <w:r>
        <w:rPr>
          <w:rFonts w:ascii="Carlito" w:hAnsi="Carlito"/>
          <w:b/>
          <w:color w:val="2D4055"/>
          <w:sz w:val="36"/>
        </w:rPr>
        <w:t>1. Business Context and Objectives</w:t>
      </w:r>
    </w:p>
    <w:p>
      <w:pPr>
        <w:spacing w:before="0" w:after="140" w:line="240" w:lineRule="auto"/>
      </w:pPr>
      <w:r>
        <w:rPr>
          <w:rFonts w:ascii="Carlito" w:hAnsi="Carlito"/>
          <w:i/>
          <w:color w:val="6B7280"/>
          <w:sz w:val="19"/>
        </w:rPr>
        <w:t>From revenue reporting to profitability diagnosis</w:t>
      </w:r>
    </w:p>
    <w:p>
      <w:pPr>
        <w:spacing w:before="0" w:after="80" w:line="252" w:lineRule="auto"/>
      </w:pPr>
      <w:r>
        <w:rPr>
          <w:rFonts w:ascii="Carlito" w:hAnsi="Carlito"/>
          <w:color w:val="252A31"/>
          <w:sz w:val="18"/>
        </w:rPr>
        <w:t>The dataset captures the commercial journey from gross sales through discounts, fulfilment, refunds, product cost and operating costs to final contribution margin. The analytical challenge was therefore not simply to report what the business sold, but to understand how much value remained after the costs and losses associated with generating and fulfilling those sales.</w:t>
      </w:r>
    </w:p>
    <w:tbl>
      <w:tblPr>
        <w:tblW w:type="auto" w:w="0"/>
        <w:jc w:val="center"/>
        <w:tblLayout w:type="fixed"/>
        <w:tblLook w:firstColumn="1" w:firstRow="1" w:lastColumn="0" w:lastRow="0" w:noHBand="0" w:noVBand="1" w:val="04A0"/>
      </w:tblPr>
      <w:tblGrid>
        <w:gridCol w:w="10148"/>
      </w:tblGrid>
      <w:tr>
        <w:tc>
          <w:tcPr>
            <w:tcW w:type="dxa" w:w="10224"/>
            <w:shd w:fill="EEF3F7"/>
            <w:tcBorders>
              <w:top w:val="nil"/>
              <w:left w:val="single" w:sz="18" w:color="B42355"/>
              <w:bottom w:val="nil"/>
              <w:right w:val="nil"/>
            </w:tcBorders>
            <w:tcMar>
              <w:top w:w="100" w:type="dxa"/>
              <w:start w:w="130" w:type="dxa"/>
              <w:bottom w:w="100" w:type="dxa"/>
              <w:end w:w="120" w:type="dxa"/>
            </w:tcMar>
          </w:tcPr>
          <w:p>
            <w:pPr>
              <w:spacing w:before="0" w:after="40" w:line="240" w:lineRule="auto"/>
            </w:pPr>
            <w:r>
              <w:rPr>
                <w:rFonts w:ascii="Carlito" w:hAnsi="Carlito"/>
                <w:b/>
                <w:color w:val="2D4055"/>
                <w:sz w:val="18"/>
              </w:rPr>
              <w:t>North-star question</w:t>
            </w:r>
          </w:p>
          <w:p>
            <w:pPr>
              <w:spacing w:before="0" w:after="0" w:line="252" w:lineRule="auto"/>
            </w:pPr>
            <w:r>
              <w:rPr>
                <w:rFonts w:ascii="Carlito" w:hAnsi="Carlito"/>
                <w:color w:val="252A31"/>
                <w:sz w:val="18"/>
              </w:rPr>
              <w:t>Why isn’t the business converting more of its sales into contribution margin, and where can profitability improve?</w:t>
            </w:r>
          </w:p>
        </w:tc>
      </w:tr>
    </w:tbl>
    <w:p>
      <w:pPr>
        <w:keepNext/>
        <w:spacing w:before="80" w:after="60" w:line="240" w:lineRule="auto"/>
      </w:pPr>
      <w:r>
        <w:rPr>
          <w:rFonts w:ascii="Carlito" w:hAnsi="Carlito"/>
          <w:b/>
          <w:color w:val="2D4055"/>
          <w:sz w:val="23"/>
        </w:rPr>
        <w:t>Primary analytical objective</w:t>
      </w:r>
    </w:p>
    <w:p>
      <w:pPr>
        <w:spacing w:before="0" w:after="80" w:line="252" w:lineRule="auto"/>
      </w:pPr>
      <w:r>
        <w:rPr>
          <w:rFonts w:ascii="Carlito" w:hAnsi="Carlito"/>
          <w:color w:val="252A31"/>
          <w:sz w:val="18"/>
        </w:rPr>
        <w:t>Determine why the business retains only 19.4% of contribution revenue as contribution margin, identify the largest sources of value erosion, and establish which commercial and customer behaviours are associated with stronger profitability.</w:t>
      </w:r>
    </w:p>
    <w:p>
      <w:pPr>
        <w:keepNext/>
        <w:spacing w:before="80" w:after="60" w:line="240" w:lineRule="auto"/>
      </w:pPr>
      <w:r>
        <w:rPr>
          <w:rFonts w:ascii="Carlito" w:hAnsi="Carlito"/>
          <w:b/>
          <w:color w:val="2D4055"/>
          <w:sz w:val="23"/>
        </w:rPr>
        <w:t>Analytical framework</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2088"/>
            <w:shd w:fill="3E5168"/>
            <w:tcMar>
              <w:top w:w="70" w:type="dxa"/>
              <w:start w:w="80" w:type="dxa"/>
              <w:bottom w:w="70" w:type="dxa"/>
              <w:end w:w="80" w:type="dxa"/>
            </w:tcMar>
            <w:tcBorders>
              <w:top w:val="single" w:sz="4" w:color="3E5168"/>
              <w:left w:val="single" w:sz="4" w:color="FFFFFF"/>
              <w:bottom w:val="single" w:sz="4" w:color="3E5168"/>
              <w:right w:val="single" w:sz="4" w:color="FFFFFF"/>
            </w:tcBorders>
          </w:tcPr>
          <w:p>
            <w:pPr>
              <w:spacing w:before="0" w:after="0" w:line="240" w:lineRule="auto"/>
            </w:pPr>
            <w:r>
              <w:rPr>
                <w:rFonts w:ascii="Carlito" w:hAnsi="Carlito"/>
                <w:b/>
                <w:color w:val="FFFFFF"/>
                <w:sz w:val="16"/>
              </w:rPr>
              <w:t>Report page</w:t>
            </w:r>
          </w:p>
        </w:tc>
        <w:tc>
          <w:tcPr>
            <w:tcW w:type="dxa" w:w="3672"/>
            <w:shd w:fill="3E5168"/>
            <w:tcMar>
              <w:top w:w="70" w:type="dxa"/>
              <w:start w:w="80" w:type="dxa"/>
              <w:bottom w:w="70" w:type="dxa"/>
              <w:end w:w="80" w:type="dxa"/>
            </w:tcMar>
            <w:tcBorders>
              <w:top w:val="single" w:sz="4" w:color="3E5168"/>
              <w:left w:val="single" w:sz="4" w:color="FFFFFF"/>
              <w:bottom w:val="single" w:sz="4" w:color="3E5168"/>
              <w:right w:val="single" w:sz="4" w:color="FFFFFF"/>
            </w:tcBorders>
          </w:tcPr>
          <w:p>
            <w:pPr>
              <w:spacing w:before="0" w:after="0" w:line="240" w:lineRule="auto"/>
            </w:pPr>
            <w:r>
              <w:rPr>
                <w:rFonts w:ascii="Carlito" w:hAnsi="Carlito"/>
                <w:b/>
                <w:color w:val="FFFFFF"/>
                <w:sz w:val="16"/>
              </w:rPr>
              <w:t>Management question</w:t>
            </w:r>
          </w:p>
        </w:tc>
        <w:tc>
          <w:tcPr>
            <w:tcW w:type="dxa" w:w="4248"/>
            <w:shd w:fill="3E5168"/>
            <w:tcMar>
              <w:top w:w="70" w:type="dxa"/>
              <w:start w:w="80" w:type="dxa"/>
              <w:bottom w:w="70" w:type="dxa"/>
              <w:end w:w="80" w:type="dxa"/>
            </w:tcMar>
            <w:tcBorders>
              <w:top w:val="single" w:sz="4" w:color="3E5168"/>
              <w:left w:val="single" w:sz="4" w:color="FFFFFF"/>
              <w:bottom w:val="single" w:sz="4" w:color="3E5168"/>
              <w:right w:val="single" w:sz="4" w:color="FFFFFF"/>
            </w:tcBorders>
          </w:tcPr>
          <w:p>
            <w:pPr>
              <w:spacing w:before="0" w:after="0" w:line="240" w:lineRule="auto"/>
            </w:pPr>
            <w:r>
              <w:rPr>
                <w:rFonts w:ascii="Carlito" w:hAnsi="Carlito"/>
                <w:b/>
                <w:color w:val="FFFFFF"/>
                <w:sz w:val="16"/>
              </w:rPr>
              <w:t>Analytical focus</w:t>
            </w:r>
          </w:p>
        </w:tc>
      </w:tr>
      <w:tr>
        <w:tc>
          <w:tcPr>
            <w:tcW w:type="dxa" w:w="2088"/>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6"/>
              </w:rPr>
              <w:t>Executive Overview</w:t>
            </w:r>
          </w:p>
        </w:tc>
        <w:tc>
          <w:tcPr>
            <w:tcW w:type="dxa" w:w="3672"/>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6"/>
              </w:rPr>
              <w:t>How effectively are sales converting into margin?</w:t>
            </w:r>
          </w:p>
        </w:tc>
        <w:tc>
          <w:tcPr>
            <w:tcW w:type="dxa" w:w="4248"/>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6"/>
              </w:rPr>
              <w:t>Revenue flow, trend, product and channel sales mix</w:t>
            </w:r>
          </w:p>
        </w:tc>
      </w:tr>
      <w:tr>
        <w:tc>
          <w:tcPr>
            <w:tcW w:type="dxa" w:w="2088"/>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6"/>
              </w:rPr>
              <w:t>Value Leakage</w:t>
            </w:r>
          </w:p>
        </w:tc>
        <w:tc>
          <w:tcPr>
            <w:tcW w:type="dxa" w:w="3672"/>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6"/>
              </w:rPr>
              <w:t>Where is value being lost?</w:t>
            </w:r>
          </w:p>
        </w:tc>
        <w:tc>
          <w:tcPr>
            <w:tcW w:type="dxa" w:w="4248"/>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6"/>
              </w:rPr>
              <w:t>Returns, lost sales, discounts, fees and fulfilment</w:t>
            </w:r>
          </w:p>
        </w:tc>
      </w:tr>
      <w:tr>
        <w:tc>
          <w:tcPr>
            <w:tcW w:type="dxa" w:w="2088"/>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6"/>
              </w:rPr>
              <w:t>Profit Drivers</w:t>
            </w:r>
          </w:p>
        </w:tc>
        <w:tc>
          <w:tcPr>
            <w:tcW w:type="dxa" w:w="3672"/>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6"/>
              </w:rPr>
              <w:t>Where are stronger profit economics being created?</w:t>
            </w:r>
          </w:p>
        </w:tc>
        <w:tc>
          <w:tcPr>
            <w:tcW w:type="dxa" w:w="4248"/>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6"/>
              </w:rPr>
              <w:t>Products, categories, channels and regions</w:t>
            </w:r>
          </w:p>
        </w:tc>
      </w:tr>
      <w:tr>
        <w:tc>
          <w:tcPr>
            <w:tcW w:type="dxa" w:w="2088"/>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6"/>
              </w:rPr>
              <w:t>Customer Profitability</w:t>
            </w:r>
          </w:p>
        </w:tc>
        <w:tc>
          <w:tcPr>
            <w:tcW w:type="dxa" w:w="3672"/>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6"/>
              </w:rPr>
              <w:t>Is the customer base creating sustainable value?</w:t>
            </w:r>
          </w:p>
        </w:tc>
        <w:tc>
          <w:tcPr>
            <w:tcW w:type="dxa" w:w="4248"/>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6"/>
              </w:rPr>
              <w:t>Acquisition, repeat purchasing, age groups and profit at risk</w:t>
            </w:r>
          </w:p>
        </w:tc>
      </w:tr>
    </w:tbl>
    <w:p>
      <w:pPr>
        <w:keepNext/>
        <w:spacing w:before="80" w:after="60" w:line="240" w:lineRule="auto"/>
      </w:pPr>
      <w:r>
        <w:rPr>
          <w:rFonts w:ascii="Carlito" w:hAnsi="Carlito"/>
          <w:b/>
          <w:color w:val="2D4055"/>
          <w:sz w:val="23"/>
        </w:rPr>
        <w:t>Success criteria</w:t>
      </w:r>
    </w:p>
    <w:p>
      <w:pPr>
        <w:pStyle w:val="ListBullet"/>
        <w:spacing w:before="0" w:after="44" w:line="245" w:lineRule="auto"/>
        <w:ind w:left="259" w:hanging="173"/>
      </w:pPr>
      <w:r>
        <w:rPr>
          <w:rFonts w:ascii="Carlito" w:hAnsi="Carlito"/>
          <w:color w:val="252A31"/>
          <w:sz w:val="17"/>
        </w:rPr>
        <w:t>Follow the financial path from Gross Sales to Contribution Margin.</w:t>
      </w:r>
    </w:p>
    <w:p>
      <w:pPr>
        <w:pStyle w:val="ListBullet"/>
        <w:spacing w:before="0" w:after="44" w:line="245" w:lineRule="auto"/>
        <w:ind w:left="259" w:hanging="173"/>
      </w:pPr>
      <w:r>
        <w:rPr>
          <w:rFonts w:ascii="Carlito" w:hAnsi="Carlito"/>
          <w:color w:val="252A31"/>
          <w:sz w:val="17"/>
        </w:rPr>
        <w:t>Distinguish revenue scale from profitability and quantify the main sources of value leakage.</w:t>
      </w:r>
    </w:p>
    <w:p>
      <w:pPr>
        <w:pStyle w:val="ListBullet"/>
        <w:spacing w:before="0" w:after="44" w:line="245" w:lineRule="auto"/>
        <w:ind w:left="259" w:hanging="173"/>
      </w:pPr>
      <w:r>
        <w:rPr>
          <w:rFonts w:ascii="Carlito" w:hAnsi="Carlito"/>
          <w:color w:val="252A31"/>
          <w:sz w:val="17"/>
        </w:rPr>
        <w:t>Identify products, channels and markets associated with stronger margin performance.</w:t>
      </w:r>
    </w:p>
    <w:p>
      <w:pPr>
        <w:pStyle w:val="ListBullet"/>
        <w:spacing w:before="0" w:after="44" w:line="245" w:lineRule="auto"/>
        <w:ind w:left="259" w:hanging="173"/>
      </w:pPr>
      <w:r>
        <w:rPr>
          <w:rFonts w:ascii="Carlito" w:hAnsi="Carlito"/>
          <w:color w:val="252A31"/>
          <w:sz w:val="17"/>
        </w:rPr>
        <w:t>Connect acquisition and repeat purchasing to customer profitability.</w:t>
      </w:r>
    </w:p>
    <w:p>
      <w:pPr>
        <w:pStyle w:val="ListBullet"/>
        <w:spacing w:before="0" w:after="44" w:line="245" w:lineRule="auto"/>
        <w:ind w:left="259" w:hanging="173"/>
      </w:pPr>
      <w:r>
        <w:rPr>
          <w:rFonts w:ascii="Carlito" w:hAnsi="Carlito"/>
          <w:color w:val="252A31"/>
          <w:sz w:val="17"/>
        </w:rPr>
        <w:t>Allow users to move from executive-level results into lower-level product, city, campaign and customer detail without overcrowding the report.</w:t>
      </w:r>
    </w:p>
    <w:p>
      <w:r>
        <w:br w:type="page"/>
      </w:r>
    </w:p>
    <w:p>
      <w:pPr>
        <w:keepNext/>
        <w:spacing w:before="0" w:after="20" w:line="240" w:lineRule="auto"/>
      </w:pPr>
      <w:r>
        <w:rPr>
          <w:rFonts w:ascii="Carlito" w:hAnsi="Carlito"/>
          <w:b/>
          <w:color w:val="2D4055"/>
          <w:sz w:val="36"/>
        </w:rPr>
        <w:t>2. Dataset, Preparation and Semantic Model</w:t>
      </w:r>
    </w:p>
    <w:p>
      <w:pPr>
        <w:spacing w:before="0" w:after="140" w:line="240" w:lineRule="auto"/>
      </w:pPr>
      <w:r>
        <w:rPr>
          <w:rFonts w:ascii="Carlito" w:hAnsi="Carlito"/>
          <w:i/>
          <w:color w:val="6B7280"/>
          <w:sz w:val="19"/>
        </w:rPr>
        <w:t>Connecting the full path from transaction to contribution margin</w:t>
      </w:r>
    </w:p>
    <w:p>
      <w:pPr>
        <w:spacing w:before="0" w:after="80" w:line="252" w:lineRule="auto"/>
      </w:pPr>
      <w:r>
        <w:rPr>
          <w:rFonts w:ascii="Carlito" w:hAnsi="Carlito"/>
          <w:color w:val="252A31"/>
          <w:sz w:val="18"/>
        </w:rPr>
        <w:t>The dataset links e-commerce transactions to the commercial and operational factors that influence profitability, including products, customers, markets, promotions, sales channels, fulfilment and returns.</w:t>
      </w:r>
    </w:p>
    <w:p>
      <w:pPr>
        <w:keepNext/>
        <w:spacing w:before="80" w:after="60" w:line="240" w:lineRule="auto"/>
      </w:pPr>
      <w:r>
        <w:rPr>
          <w:rFonts w:ascii="Carlito" w:hAnsi="Carlito"/>
          <w:b/>
          <w:color w:val="2D4055"/>
          <w:sz w:val="23"/>
        </w:rPr>
        <w:t>Core analytical areas</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304"/>
            <w:shd w:fill="3E5168"/>
            <w:tcMar>
              <w:top w:w="70" w:type="dxa"/>
              <w:start w:w="80" w:type="dxa"/>
              <w:bottom w:w="70" w:type="dxa"/>
              <w:end w:w="80" w:type="dxa"/>
            </w:tcMar>
            <w:tcBorders>
              <w:top w:val="single" w:sz="4" w:color="3E5168"/>
              <w:left w:val="single" w:sz="4" w:color="FFFFFF"/>
              <w:bottom w:val="single" w:sz="4" w:color="3E5168"/>
              <w:right w:val="single" w:sz="4" w:color="FFFFFF"/>
            </w:tcBorders>
          </w:tcPr>
          <w:p>
            <w:pPr>
              <w:spacing w:before="0" w:after="0" w:line="240" w:lineRule="auto"/>
            </w:pPr>
            <w:r>
              <w:rPr>
                <w:rFonts w:ascii="Carlito" w:hAnsi="Carlito"/>
                <w:b/>
                <w:color w:val="FFFFFF"/>
                <w:sz w:val="15"/>
              </w:rPr>
              <w:t>Area</w:t>
            </w:r>
          </w:p>
        </w:tc>
        <w:tc>
          <w:tcPr>
            <w:tcW w:type="dxa" w:w="7704"/>
            <w:shd w:fill="3E5168"/>
            <w:tcMar>
              <w:top w:w="70" w:type="dxa"/>
              <w:start w:w="80" w:type="dxa"/>
              <w:bottom w:w="70" w:type="dxa"/>
              <w:end w:w="80" w:type="dxa"/>
            </w:tcMar>
            <w:tcBorders>
              <w:top w:val="single" w:sz="4" w:color="3E5168"/>
              <w:left w:val="single" w:sz="4" w:color="FFFFFF"/>
              <w:bottom w:val="single" w:sz="4" w:color="3E5168"/>
              <w:right w:val="single" w:sz="4" w:color="FFFFFF"/>
            </w:tcBorders>
          </w:tcPr>
          <w:p>
            <w:pPr>
              <w:spacing w:before="0" w:after="0" w:line="240" w:lineRule="auto"/>
            </w:pPr>
            <w:r>
              <w:rPr>
                <w:rFonts w:ascii="Carlito" w:hAnsi="Carlito"/>
                <w:b/>
                <w:color w:val="FFFFFF"/>
                <w:sz w:val="15"/>
              </w:rPr>
              <w:t>Examples</w:t>
            </w:r>
          </w:p>
        </w:tc>
      </w:tr>
      <w:tr>
        <w:tc>
          <w:tcPr>
            <w:tcW w:type="dxa" w:w="2304"/>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Transactions</w:t>
            </w:r>
          </w:p>
        </w:tc>
        <w:tc>
          <w:tcPr>
            <w:tcW w:type="dxa" w:w="7704"/>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Orders, fulfilled units, selling price, gross sales and contribution measures</w:t>
            </w:r>
          </w:p>
        </w:tc>
      </w:tr>
      <w:tr>
        <w:tc>
          <w:tcPr>
            <w:tcW w:type="dxa" w:w="2304"/>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Products</w:t>
            </w:r>
          </w:p>
        </w:tc>
        <w:tc>
          <w:tcPr>
            <w:tcW w:type="dxa" w:w="7704"/>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Brand, brand tier, category, subcategory, product, list price and standard unit cost</w:t>
            </w:r>
          </w:p>
        </w:tc>
      </w:tr>
      <w:tr>
        <w:tc>
          <w:tcPr>
            <w:tcW w:type="dxa" w:w="2304"/>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Customers</w:t>
            </w:r>
          </w:p>
        </w:tc>
        <w:tc>
          <w:tcPr>
            <w:tcW w:type="dxa" w:w="7704"/>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Customer segment, acquisition channel, cohort and age band</w:t>
            </w:r>
          </w:p>
        </w:tc>
      </w:tr>
      <w:tr>
        <w:tc>
          <w:tcPr>
            <w:tcW w:type="dxa" w:w="2304"/>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Geography</w:t>
            </w:r>
          </w:p>
        </w:tc>
        <w:tc>
          <w:tcPr>
            <w:tcW w:type="dxa" w:w="7704"/>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Region, country, city and market attributes</w:t>
            </w:r>
          </w:p>
        </w:tc>
      </w:tr>
      <w:tr>
        <w:tc>
          <w:tcPr>
            <w:tcW w:type="dxa" w:w="2304"/>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Promotions</w:t>
            </w:r>
          </w:p>
        </w:tc>
        <w:tc>
          <w:tcPr>
            <w:tcW w:type="dxa" w:w="7704"/>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Campaign, discount type, discount rate and promotion objective</w:t>
            </w:r>
          </w:p>
        </w:tc>
      </w:tr>
      <w:tr>
        <w:tc>
          <w:tcPr>
            <w:tcW w:type="dxa" w:w="2304"/>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Sales channels</w:t>
            </w:r>
          </w:p>
        </w:tc>
        <w:tc>
          <w:tcPr>
            <w:tcW w:type="dxa" w:w="7704"/>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Channel group, sales channel, device type and payment fees</w:t>
            </w:r>
          </w:p>
        </w:tc>
      </w:tr>
      <w:tr>
        <w:tc>
          <w:tcPr>
            <w:tcW w:type="dxa" w:w="2304"/>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Fulfilment</w:t>
            </w:r>
          </w:p>
        </w:tc>
        <w:tc>
          <w:tcPr>
            <w:tcW w:type="dxa" w:w="7704"/>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Fulfilment model, carrier, service level and cost-to-serve</w:t>
            </w:r>
          </w:p>
        </w:tc>
      </w:tr>
      <w:tr>
        <w:tc>
          <w:tcPr>
            <w:tcW w:type="dxa" w:w="2304"/>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Returns</w:t>
            </w:r>
          </w:p>
        </w:tc>
        <w:tc>
          <w:tcPr>
            <w:tcW w:type="dxa" w:w="7704"/>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Return reason, return group, return loss and recovery attributes</w:t>
            </w:r>
          </w:p>
        </w:tc>
      </w:tr>
      <w:tr>
        <w:tc>
          <w:tcPr>
            <w:tcW w:type="dxa" w:w="2304"/>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Time / cohort</w:t>
            </w:r>
          </w:p>
        </w:tc>
        <w:tc>
          <w:tcPr>
            <w:tcW w:type="dxa" w:w="7704"/>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Calendar periods, cohort age and months since first purchase</w:t>
            </w:r>
          </w:p>
        </w:tc>
      </w:tr>
    </w:tbl>
    <w:p>
      <w:pPr>
        <w:keepNext/>
        <w:spacing w:before="80" w:after="60" w:line="240" w:lineRule="auto"/>
      </w:pPr>
      <w:r>
        <w:rPr>
          <w:rFonts w:ascii="Carlito" w:hAnsi="Carlito"/>
          <w:b/>
          <w:color w:val="2D4055"/>
          <w:sz w:val="23"/>
        </w:rPr>
        <w:t>Semantic model</w:t>
      </w:r>
    </w:p>
    <w:p>
      <w:pPr>
        <w:spacing w:before="0" w:after="80" w:line="252" w:lineRule="auto"/>
      </w:pPr>
      <w:r>
        <w:rPr>
          <w:rFonts w:ascii="Carlito" w:hAnsi="Carlito"/>
          <w:color w:val="252A31"/>
          <w:sz w:val="18"/>
        </w:rPr>
        <w:t>The report uses a star-schema design centred on Fact Order Lines, supported by Product, Customer, Geography, Sales Channel, Promotion, Fulfilment, Return Reason, Date and Cohort Age dimensions. Separate helper tables hold core measures, time-intelligence measures, dynamic measures, trend parameters and waterfall steps.</w:t>
      </w:r>
    </w:p>
    <w:p>
      <w:pPr>
        <w:spacing w:before="0" w:after="40" w:line="240" w:lineRule="auto"/>
        <w:jc w:val="center"/>
      </w:pPr>
      <w:r>
        <w:drawing>
          <wp:inline xmlns:a="http://schemas.openxmlformats.org/drawingml/2006/main" xmlns:pic="http://schemas.openxmlformats.org/drawingml/2006/picture">
            <wp:extent cx="6172200" cy="2728945"/>
            <wp:docPr id="2" name="Picture 2"/>
            <wp:cNvGraphicFramePr>
              <a:graphicFrameLocks noChangeAspect="1"/>
            </wp:cNvGraphicFramePr>
            <a:graphic>
              <a:graphicData uri="http://schemas.openxmlformats.org/drawingml/2006/picture">
                <pic:pic>
                  <pic:nvPicPr>
                    <pic:cNvPr id="0" name="data model.png"/>
                    <pic:cNvPicPr/>
                  </pic:nvPicPr>
                  <pic:blipFill>
                    <a:blip r:embed="rId12"/>
                    <a:stretch>
                      <a:fillRect/>
                    </a:stretch>
                  </pic:blipFill>
                  <pic:spPr>
                    <a:xfrm>
                      <a:off x="0" y="0"/>
                      <a:ext cx="6172200" cy="2728945"/>
                    </a:xfrm>
                    <a:prstGeom prst="rect"/>
                  </pic:spPr>
                </pic:pic>
              </a:graphicData>
            </a:graphic>
          </wp:inline>
        </w:drawing>
      </w:r>
    </w:p>
    <w:p>
      <w:pPr>
        <w:spacing w:before="0" w:after="0" w:line="240" w:lineRule="auto"/>
        <w:jc w:val="center"/>
      </w:pPr>
      <w:r>
        <w:rPr>
          <w:rFonts w:ascii="Carlito" w:hAnsi="Carlito"/>
          <w:i/>
          <w:color w:val="6B7280"/>
          <w:sz w:val="15"/>
        </w:rPr>
        <w:t>Figure 1. Power BI semantic model</w:t>
      </w:r>
    </w:p>
    <w:p>
      <w:pPr>
        <w:keepNext/>
        <w:spacing w:before="80" w:after="60" w:line="240" w:lineRule="auto"/>
      </w:pPr>
      <w:r>
        <w:rPr>
          <w:rFonts w:ascii="Carlito" w:hAnsi="Carlito"/>
          <w:b/>
          <w:color w:val="2D4055"/>
          <w:sz w:val="21"/>
        </w:rPr>
        <w:t>Key modelling considerations</w:t>
      </w:r>
    </w:p>
    <w:p>
      <w:pPr>
        <w:pStyle w:val="ListBullet"/>
        <w:spacing w:before="0" w:after="44" w:line="245" w:lineRule="auto"/>
        <w:ind w:left="259" w:hanging="173"/>
      </w:pPr>
      <w:r>
        <w:rPr>
          <w:rFonts w:ascii="Carlito" w:hAnsi="Carlito"/>
          <w:color w:val="252A31"/>
          <w:sz w:val="16"/>
        </w:rPr>
        <w:t>Contribution Margin is calculated from underlying financial components rather than averaging row-level margin percentages.</w:t>
      </w:r>
    </w:p>
    <w:p>
      <w:pPr>
        <w:pStyle w:val="ListBullet"/>
        <w:spacing w:before="0" w:after="44" w:line="245" w:lineRule="auto"/>
        <w:ind w:left="259" w:hanging="173"/>
      </w:pPr>
      <w:r>
        <w:rPr>
          <w:rFonts w:ascii="Carlito" w:hAnsi="Carlito"/>
          <w:color w:val="252A31"/>
          <w:sz w:val="16"/>
        </w:rPr>
        <w:t>Customer profitability distinguishes acquisition-period value from contribution generated after acquisition.</w:t>
      </w:r>
    </w:p>
    <w:p>
      <w:pPr>
        <w:pStyle w:val="ListBullet"/>
        <w:spacing w:before="0" w:after="44" w:line="245" w:lineRule="auto"/>
        <w:ind w:left="259" w:hanging="173"/>
      </w:pPr>
      <w:r>
        <w:rPr>
          <w:rFonts w:ascii="Carlito" w:hAnsi="Carlito"/>
          <w:color w:val="252A31"/>
          <w:sz w:val="16"/>
        </w:rPr>
        <w:t>Geography used for customer analysis is aligned to the customer’s home geography where required.</w:t>
      </w:r>
    </w:p>
    <w:p>
      <w:pPr>
        <w:pStyle w:val="ListBullet"/>
        <w:spacing w:before="0" w:after="44" w:line="245" w:lineRule="auto"/>
        <w:ind w:left="259" w:hanging="173"/>
      </w:pPr>
      <w:r>
        <w:rPr>
          <w:rFonts w:ascii="Carlito" w:hAnsi="Carlito"/>
          <w:color w:val="252A31"/>
          <w:sz w:val="16"/>
        </w:rPr>
        <w:t>Time intelligence supports period comparison while Cohort Age supports repeat-purchase and lifecycle analysis.</w:t>
      </w:r>
    </w:p>
    <w:p>
      <w:r>
        <w:br w:type="page"/>
      </w:r>
    </w:p>
    <w:p>
      <w:pPr>
        <w:keepNext/>
        <w:spacing w:before="0" w:after="20" w:line="240" w:lineRule="auto"/>
      </w:pPr>
      <w:r>
        <w:rPr>
          <w:rFonts w:ascii="Carlito" w:hAnsi="Carlito"/>
          <w:b/>
          <w:color w:val="2D4055"/>
          <w:sz w:val="36"/>
        </w:rPr>
        <w:t>3. Measure Design and Analytical Logic</w:t>
      </w:r>
    </w:p>
    <w:p>
      <w:pPr>
        <w:spacing w:before="0" w:after="140" w:line="240" w:lineRule="auto"/>
      </w:pPr>
      <w:r>
        <w:rPr>
          <w:rFonts w:ascii="Carlito" w:hAnsi="Carlito"/>
          <w:i/>
          <w:color w:val="6B7280"/>
          <w:sz w:val="19"/>
        </w:rPr>
        <w:t>Defining profitability before analysing its drivers</w:t>
      </w:r>
    </w:p>
    <w:p>
      <w:pPr>
        <w:spacing w:before="0" w:after="80" w:line="252" w:lineRule="auto"/>
      </w:pPr>
      <w:r>
        <w:rPr>
          <w:rFonts w:ascii="Carlito" w:hAnsi="Carlito"/>
          <w:color w:val="252A31"/>
          <w:sz w:val="18"/>
        </w:rPr>
        <w:t>The report follows value from the original sale to the amount retained as contribution margin. This separates revenue leakage from the variable costs required to serve that revenue.</w:t>
      </w:r>
    </w:p>
    <w:tbl>
      <w:tblPr>
        <w:tblW w:type="auto" w:w="0"/>
        <w:jc w:val="center"/>
        <w:tblLayout w:type="fixed"/>
        <w:tblLook w:firstColumn="1" w:firstRow="1" w:lastColumn="0" w:lastRow="0" w:noHBand="0" w:noVBand="1" w:val="04A0"/>
      </w:tblPr>
      <w:tblGrid>
        <w:gridCol w:w="10148"/>
      </w:tblGrid>
      <w:tr>
        <w:tc>
          <w:tcPr>
            <w:tcW w:type="dxa" w:w="10224"/>
            <w:shd w:fill="F8EAF0"/>
            <w:tcBorders>
              <w:top w:val="nil"/>
              <w:left w:val="single" w:sz="18" w:color="B42355"/>
              <w:bottom w:val="nil"/>
              <w:right w:val="nil"/>
            </w:tcBorders>
            <w:tcMar>
              <w:top w:w="100" w:type="dxa"/>
              <w:start w:w="130" w:type="dxa"/>
              <w:bottom w:w="100" w:type="dxa"/>
              <w:end w:w="120" w:type="dxa"/>
            </w:tcMar>
          </w:tcPr>
          <w:p>
            <w:pPr>
              <w:spacing w:before="0" w:after="40" w:line="240" w:lineRule="auto"/>
            </w:pPr>
            <w:r>
              <w:rPr>
                <w:rFonts w:ascii="Carlito" w:hAnsi="Carlito"/>
                <w:b/>
                <w:color w:val="2D4055"/>
                <w:sz w:val="18"/>
              </w:rPr>
              <w:t>Profitability chain</w:t>
            </w:r>
          </w:p>
          <w:p>
            <w:pPr>
              <w:spacing w:before="0" w:after="0" w:line="252" w:lineRule="auto"/>
            </w:pPr>
            <w:r>
              <w:rPr>
                <w:rFonts w:ascii="Carlito" w:hAnsi="Carlito"/>
                <w:color w:val="252A31"/>
                <w:sz w:val="18"/>
              </w:rPr>
              <w:t>Gross Sales  −  Discounts  −  Refunds  +  Shipping Revenue  =  Contribution Revenue  →  less Product Cost and Variable Operating Cost  =  Contribution Margin</w:t>
            </w:r>
          </w:p>
        </w:tc>
      </w:tr>
    </w:tbl>
    <w:p>
      <w:pPr>
        <w:keepNext/>
        <w:spacing w:before="80" w:after="60" w:line="240" w:lineRule="auto"/>
      </w:pPr>
      <w:r>
        <w:rPr>
          <w:rFonts w:ascii="Carlito" w:hAnsi="Carlito"/>
          <w:b/>
          <w:color w:val="2D4055"/>
          <w:sz w:val="23"/>
        </w:rPr>
        <w:t>Core measures</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3312"/>
            <w:shd w:fill="3E5168"/>
            <w:tcMar>
              <w:top w:w="70" w:type="dxa"/>
              <w:start w:w="80" w:type="dxa"/>
              <w:bottom w:w="70" w:type="dxa"/>
              <w:end w:w="80" w:type="dxa"/>
            </w:tcMar>
            <w:tcBorders>
              <w:top w:val="single" w:sz="4" w:color="3E5168"/>
              <w:left w:val="single" w:sz="4" w:color="FFFFFF"/>
              <w:bottom w:val="single" w:sz="4" w:color="3E5168"/>
              <w:right w:val="single" w:sz="4" w:color="FFFFFF"/>
            </w:tcBorders>
          </w:tcPr>
          <w:p>
            <w:pPr>
              <w:spacing w:before="0" w:after="0" w:line="240" w:lineRule="auto"/>
            </w:pPr>
            <w:r>
              <w:rPr>
                <w:rFonts w:ascii="Carlito" w:hAnsi="Carlito"/>
                <w:b/>
                <w:color w:val="FFFFFF"/>
                <w:sz w:val="15"/>
              </w:rPr>
              <w:t>Measure</w:t>
            </w:r>
          </w:p>
        </w:tc>
        <w:tc>
          <w:tcPr>
            <w:tcW w:type="dxa" w:w="6696"/>
            <w:shd w:fill="3E5168"/>
            <w:tcMar>
              <w:top w:w="70" w:type="dxa"/>
              <w:start w:w="80" w:type="dxa"/>
              <w:bottom w:w="70" w:type="dxa"/>
              <w:end w:w="80" w:type="dxa"/>
            </w:tcMar>
            <w:tcBorders>
              <w:top w:val="single" w:sz="4" w:color="3E5168"/>
              <w:left w:val="single" w:sz="4" w:color="FFFFFF"/>
              <w:bottom w:val="single" w:sz="4" w:color="3E5168"/>
              <w:right w:val="single" w:sz="4" w:color="FFFFFF"/>
            </w:tcBorders>
          </w:tcPr>
          <w:p>
            <w:pPr>
              <w:spacing w:before="0" w:after="0" w:line="240" w:lineRule="auto"/>
            </w:pPr>
            <w:r>
              <w:rPr>
                <w:rFonts w:ascii="Carlito" w:hAnsi="Carlito"/>
                <w:b/>
                <w:color w:val="FFFFFF"/>
                <w:sz w:val="15"/>
              </w:rPr>
              <w:t>Purpose</w:t>
            </w:r>
          </w:p>
        </w:tc>
      </w:tr>
      <w:tr>
        <w:tc>
          <w:tcPr>
            <w:tcW w:type="dxa" w:w="3312"/>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Gross Sales</w:t>
            </w:r>
          </w:p>
        </w:tc>
        <w:tc>
          <w:tcPr>
            <w:tcW w:type="dxa" w:w="6696"/>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Original sales value before discounts and refunds</w:t>
            </w:r>
          </w:p>
        </w:tc>
      </w:tr>
      <w:tr>
        <w:tc>
          <w:tcPr>
            <w:tcW w:type="dxa" w:w="3312"/>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Net Sales</w:t>
            </w:r>
          </w:p>
        </w:tc>
        <w:tc>
          <w:tcPr>
            <w:tcW w:type="dxa" w:w="6696"/>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Sales retained after commercial deductions</w:t>
            </w:r>
          </w:p>
        </w:tc>
      </w:tr>
      <w:tr>
        <w:tc>
          <w:tcPr>
            <w:tcW w:type="dxa" w:w="3312"/>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Contribution Revenue</w:t>
            </w:r>
          </w:p>
        </w:tc>
        <w:tc>
          <w:tcPr>
            <w:tcW w:type="dxa" w:w="6696"/>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Revenue available to cover product and operating costs</w:t>
            </w:r>
          </w:p>
        </w:tc>
      </w:tr>
      <w:tr>
        <w:tc>
          <w:tcPr>
            <w:tcW w:type="dxa" w:w="3312"/>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Contribution Margin</w:t>
            </w:r>
          </w:p>
        </w:tc>
        <w:tc>
          <w:tcPr>
            <w:tcW w:type="dxa" w:w="6696"/>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Value remaining after variable costs</w:t>
            </w:r>
          </w:p>
        </w:tc>
      </w:tr>
      <w:tr>
        <w:tc>
          <w:tcPr>
            <w:tcW w:type="dxa" w:w="3312"/>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Contribution Margin %</w:t>
            </w:r>
          </w:p>
        </w:tc>
        <w:tc>
          <w:tcPr>
            <w:tcW w:type="dxa" w:w="6696"/>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Margin efficiency relative to contribution revenue</w:t>
            </w:r>
          </w:p>
        </w:tc>
      </w:tr>
      <w:tr>
        <w:tc>
          <w:tcPr>
            <w:tcW w:type="dxa" w:w="3312"/>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Return Loss</w:t>
            </w:r>
          </w:p>
        </w:tc>
        <w:tc>
          <w:tcPr>
            <w:tcW w:type="dxa" w:w="6696"/>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Financial impact associated with returned orders</w:t>
            </w:r>
          </w:p>
        </w:tc>
      </w:tr>
      <w:tr>
        <w:tc>
          <w:tcPr>
            <w:tcW w:type="dxa" w:w="3312"/>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Lost Sales Value</w:t>
            </w:r>
          </w:p>
        </w:tc>
        <w:tc>
          <w:tcPr>
            <w:tcW w:type="dxa" w:w="6696"/>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Revenue opportunity lost through unfulfilled demand</w:t>
            </w:r>
          </w:p>
        </w:tc>
      </w:tr>
      <w:tr>
        <w:tc>
          <w:tcPr>
            <w:tcW w:type="dxa" w:w="3312"/>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Acquisition Cost / New Customer</w:t>
            </w:r>
          </w:p>
        </w:tc>
        <w:tc>
          <w:tcPr>
            <w:tcW w:type="dxa" w:w="6696"/>
            <w:shd w:fill="F7F9FB"/>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Cost required to acquire each new customer</w:t>
            </w:r>
          </w:p>
        </w:tc>
      </w:tr>
      <w:tr>
        <w:tc>
          <w:tcPr>
            <w:tcW w:type="dxa" w:w="3312"/>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Repeat Contribution Margin</w:t>
            </w:r>
          </w:p>
        </w:tc>
        <w:tc>
          <w:tcPr>
            <w:tcW w:type="dxa" w:w="6696"/>
            <w:shd w:fill="FFFFFF"/>
            <w:tcMar>
              <w:top w:w="65" w:type="dxa"/>
              <w:start w:w="80" w:type="dxa"/>
              <w:bottom w:w="65" w:type="dxa"/>
              <w:end w:w="80" w:type="dxa"/>
            </w:tcMar>
            <w:tcBorders>
              <w:top w:val="single" w:sz="2" w:color="D8E0E7"/>
              <w:left w:val="single" w:sz="2" w:color="D8E0E7"/>
              <w:bottom w:val="single" w:sz="2" w:color="D8E0E7"/>
              <w:right w:val="single" w:sz="2" w:color="D8E0E7"/>
            </w:tcBorders>
          </w:tcPr>
          <w:p>
            <w:pPr>
              <w:spacing w:before="0" w:after="0" w:line="240" w:lineRule="auto"/>
            </w:pPr>
            <w:r>
              <w:rPr>
                <w:rFonts w:ascii="Carlito" w:hAnsi="Carlito"/>
                <w:color w:val="252A31"/>
                <w:sz w:val="15"/>
              </w:rPr>
              <w:t>Margin generated after the customer’s acquisition period</w:t>
            </w:r>
          </w:p>
        </w:tc>
      </w:tr>
    </w:tbl>
    <w:p>
      <w:pPr>
        <w:keepNext/>
        <w:spacing w:before="80" w:after="60" w:line="240" w:lineRule="auto"/>
      </w:pPr>
      <w:r>
        <w:rPr>
          <w:rFonts w:ascii="Carlito" w:hAnsi="Carlito"/>
          <w:b/>
          <w:color w:val="2D4055"/>
          <w:sz w:val="23"/>
        </w:rPr>
        <w:t>Selected DAX patterns</w:t>
      </w:r>
    </w:p>
    <w:p>
      <w:pPr>
        <w:spacing w:before="60" w:after="20" w:line="240" w:lineRule="auto"/>
      </w:pPr>
      <w:r>
        <w:rPr>
          <w:rFonts w:ascii="Carlito" w:hAnsi="Carlito"/>
          <w:b/>
          <w:color w:val="2D4055"/>
          <w:sz w:val="17"/>
        </w:rPr>
        <w:t>Contribution Margin %</w:t>
      </w:r>
    </w:p>
    <w:tbl>
      <w:tblPr>
        <w:tblW w:type="auto" w:w="0"/>
        <w:tblLayout w:type="fixed"/>
        <w:tblLook w:firstColumn="1" w:firstRow="1" w:lastColumn="0" w:lastRow="0" w:noHBand="0" w:noVBand="1" w:val="04A0"/>
      </w:tblPr>
      <w:tblGrid>
        <w:gridCol w:w="10148"/>
      </w:tblGrid>
      <w:tr>
        <w:tc>
          <w:tcPr>
            <w:tcW w:type="dxa" w:w="10080"/>
            <w:shd w:fill="F3F4F6"/>
            <w:tcMar>
              <w:top w:w="65" w:type="dxa"/>
              <w:start w:w="85" w:type="dxa"/>
              <w:bottom w:w="65" w:type="dxa"/>
              <w:end w:w="85" w:type="dxa"/>
            </w:tcMar>
            <w:tcBorders>
              <w:top w:val="single" w:sz="2" w:color="D8E0E7"/>
              <w:left w:val="single" w:sz="2" w:color="D8E0E7"/>
              <w:bottom w:val="single" w:sz="2" w:color="D8E0E7"/>
              <w:right w:val="single" w:sz="2" w:color="D8E0E7"/>
            </w:tcBorders>
          </w:tcPr>
          <w:p>
            <w:pPr>
              <w:spacing w:before="0" w:after="0" w:line="240" w:lineRule="auto"/>
            </w:pPr>
            <w:r>
              <w:rPr>
                <w:rFonts w:ascii="DejaVu Sans Mono" w:hAnsi="DejaVu Sans Mono"/>
                <w:color w:val="252A31"/>
                <w:sz w:val="14"/>
              </w:rPr>
              <w:t>Contribution Margin % =</w:t>
              <w:br/>
              <w:t>DIVIDE ( [Contribution Margin], [Contribution Revenue] )</w:t>
            </w:r>
          </w:p>
        </w:tc>
      </w:tr>
    </w:tbl>
    <w:p>
      <w:pPr>
        <w:spacing w:before="60" w:after="20" w:line="240" w:lineRule="auto"/>
      </w:pPr>
      <w:r>
        <w:rPr>
          <w:rFonts w:ascii="Carlito" w:hAnsi="Carlito"/>
          <w:b/>
          <w:color w:val="2D4055"/>
          <w:sz w:val="17"/>
        </w:rPr>
        <w:t>Repeat Contribution Margin</w:t>
      </w:r>
    </w:p>
    <w:tbl>
      <w:tblPr>
        <w:tblW w:type="auto" w:w="0"/>
        <w:tblLayout w:type="fixed"/>
        <w:tblLook w:firstColumn="1" w:firstRow="1" w:lastColumn="0" w:lastRow="0" w:noHBand="0" w:noVBand="1" w:val="04A0"/>
      </w:tblPr>
      <w:tblGrid>
        <w:gridCol w:w="10148"/>
      </w:tblGrid>
      <w:tr>
        <w:tc>
          <w:tcPr>
            <w:tcW w:type="dxa" w:w="10080"/>
            <w:shd w:fill="F3F4F6"/>
            <w:tcMar>
              <w:top w:w="65" w:type="dxa"/>
              <w:start w:w="85" w:type="dxa"/>
              <w:bottom w:w="65" w:type="dxa"/>
              <w:end w:w="85" w:type="dxa"/>
            </w:tcMar>
            <w:tcBorders>
              <w:top w:val="single" w:sz="2" w:color="D8E0E7"/>
              <w:left w:val="single" w:sz="2" w:color="D8E0E7"/>
              <w:bottom w:val="single" w:sz="2" w:color="D8E0E7"/>
              <w:right w:val="single" w:sz="2" w:color="D8E0E7"/>
            </w:tcBorders>
          </w:tcPr>
          <w:p>
            <w:pPr>
              <w:spacing w:before="0" w:after="0" w:line="240" w:lineRule="auto"/>
            </w:pPr>
            <w:r>
              <w:rPr>
                <w:rFonts w:ascii="DejaVu Sans Mono" w:hAnsi="DejaVu Sans Mono"/>
                <w:color w:val="252A31"/>
                <w:sz w:val="14"/>
              </w:rPr>
              <w:t>Repeat Contribution Margin =</w:t>
              <w:br/>
              <w:t>CALCULATE ( [Contribution Margin], 'Cohort Age'[Months Since First Purchase] &gt; 0 )</w:t>
            </w:r>
          </w:p>
        </w:tc>
      </w:tr>
    </w:tbl>
    <w:p>
      <w:pPr>
        <w:spacing w:before="60" w:after="20" w:line="240" w:lineRule="auto"/>
      </w:pPr>
      <w:r>
        <w:rPr>
          <w:rFonts w:ascii="Carlito" w:hAnsi="Carlito"/>
          <w:b/>
          <w:color w:val="2D4055"/>
          <w:sz w:val="17"/>
        </w:rPr>
        <w:t>Company CM% Baseline</w:t>
      </w:r>
    </w:p>
    <w:tbl>
      <w:tblPr>
        <w:tblW w:type="auto" w:w="0"/>
        <w:tblLayout w:type="fixed"/>
        <w:tblLook w:firstColumn="1" w:firstRow="1" w:lastColumn="0" w:lastRow="0" w:noHBand="0" w:noVBand="1" w:val="04A0"/>
      </w:tblPr>
      <w:tblGrid>
        <w:gridCol w:w="10148"/>
      </w:tblGrid>
      <w:tr>
        <w:tc>
          <w:tcPr>
            <w:tcW w:type="dxa" w:w="10080"/>
            <w:shd w:fill="F3F4F6"/>
            <w:tcMar>
              <w:top w:w="65" w:type="dxa"/>
              <w:start w:w="85" w:type="dxa"/>
              <w:bottom w:w="65" w:type="dxa"/>
              <w:end w:w="85" w:type="dxa"/>
            </w:tcMar>
            <w:tcBorders>
              <w:top w:val="single" w:sz="2" w:color="D8E0E7"/>
              <w:left w:val="single" w:sz="2" w:color="D8E0E7"/>
              <w:bottom w:val="single" w:sz="2" w:color="D8E0E7"/>
              <w:right w:val="single" w:sz="2" w:color="D8E0E7"/>
            </w:tcBorders>
          </w:tcPr>
          <w:p>
            <w:pPr>
              <w:spacing w:before="0" w:after="0" w:line="240" w:lineRule="auto"/>
            </w:pPr>
            <w:r>
              <w:rPr>
                <w:rFonts w:ascii="DejaVu Sans Mono" w:hAnsi="DejaVu Sans Mono"/>
                <w:color w:val="252A31"/>
                <w:sz w:val="14"/>
              </w:rPr>
              <w:t>Company CM% Baseline =</w:t>
              <w:br/>
              <w:t>CALCULATE ( [Contribution Margin %], ALL ( Geography ) )</w:t>
            </w:r>
          </w:p>
        </w:tc>
      </w:tr>
    </w:tbl>
    <w:p>
      <w:pPr>
        <w:keepNext/>
        <w:spacing w:before="80" w:after="60" w:line="240" w:lineRule="auto"/>
      </w:pPr>
      <w:r>
        <w:rPr>
          <w:rFonts w:ascii="Carlito" w:hAnsi="Carlito"/>
          <w:b/>
          <w:color w:val="2D4055"/>
          <w:sz w:val="21"/>
        </w:rPr>
        <w:t>Interaction design</w:t>
      </w:r>
    </w:p>
    <w:p>
      <w:pPr>
        <w:pStyle w:val="ListBullet"/>
        <w:spacing w:before="0" w:after="44" w:line="245" w:lineRule="auto"/>
        <w:ind w:left="259" w:hanging="173"/>
      </w:pPr>
      <w:r>
        <w:rPr>
          <w:rFonts w:ascii="Carlito" w:hAnsi="Carlito"/>
          <w:color w:val="252A31"/>
          <w:sz w:val="16"/>
        </w:rPr>
        <w:t>Year controls support current-period and prior-year comparison.</w:t>
      </w:r>
    </w:p>
    <w:p>
      <w:pPr>
        <w:pStyle w:val="ListBullet"/>
        <w:spacing w:before="0" w:after="44" w:line="245" w:lineRule="auto"/>
        <w:ind w:left="259" w:hanging="173"/>
      </w:pPr>
      <w:r>
        <w:rPr>
          <w:rFonts w:ascii="Carlito" w:hAnsi="Carlito"/>
          <w:color w:val="252A31"/>
          <w:sz w:val="16"/>
        </w:rPr>
        <w:t>Product visuals drill Brand → Category → Subcategory → Product; geography drills Region → City.</w:t>
      </w:r>
    </w:p>
    <w:p>
      <w:pPr>
        <w:pStyle w:val="ListBullet"/>
        <w:spacing w:before="0" w:after="44" w:line="245" w:lineRule="auto"/>
        <w:ind w:left="259" w:hanging="173"/>
      </w:pPr>
      <w:r>
        <w:rPr>
          <w:rFonts w:ascii="Carlito" w:hAnsi="Carlito"/>
          <w:color w:val="252A31"/>
          <w:sz w:val="16"/>
        </w:rPr>
        <w:t>Tooltips provide supporting measures without overcrowding the main chart.</w:t>
      </w:r>
    </w:p>
    <w:p>
      <w:pPr>
        <w:pStyle w:val="ListBullet"/>
        <w:spacing w:before="0" w:after="44" w:line="245" w:lineRule="auto"/>
        <w:ind w:left="259" w:hanging="173"/>
      </w:pPr>
      <w:r>
        <w:rPr>
          <w:rFonts w:ascii="Carlito" w:hAnsi="Carlito"/>
          <w:color w:val="252A31"/>
          <w:sz w:val="16"/>
        </w:rPr>
        <w:t>Page navigation follows Overview → Value Leakage → Profit Drivers → Customer Profitability.</w:t>
      </w:r>
    </w:p>
    <w:p>
      <w:r>
        <w:br w:type="page"/>
      </w:r>
    </w:p>
    <w:p>
      <w:pPr>
        <w:keepNext/>
        <w:spacing w:before="0" w:after="20" w:line="240" w:lineRule="auto"/>
      </w:pPr>
      <w:r>
        <w:rPr>
          <w:rFonts w:ascii="Carlito" w:hAnsi="Carlito"/>
          <w:b/>
          <w:color w:val="2D4055"/>
          <w:sz w:val="36"/>
        </w:rPr>
        <w:t>4. Executive Overview and Value Leakage</w:t>
      </w:r>
    </w:p>
    <w:p>
      <w:pPr>
        <w:spacing w:before="0" w:after="140" w:line="240" w:lineRule="auto"/>
      </w:pPr>
      <w:r>
        <w:rPr>
          <w:rFonts w:ascii="Carlito" w:hAnsi="Carlito"/>
          <w:i/>
          <w:color w:val="6B7280"/>
          <w:sz w:val="19"/>
        </w:rPr>
        <w:t>From overall performance to the specific sources of margin erosion</w:t>
      </w:r>
    </w:p>
    <w:p>
      <w:pPr>
        <w:spacing w:before="20" w:after="0" w:line="240" w:lineRule="auto"/>
      </w:pPr>
      <w:r>
        <w:rPr>
          <w:rFonts w:ascii="Carlito" w:hAnsi="Carlito"/>
          <w:b/>
          <w:color w:val="2D4055"/>
          <w:sz w:val="23"/>
        </w:rPr>
        <w:t>Executive Overview</w:t>
      </w:r>
    </w:p>
    <w:p>
      <w:pPr>
        <w:spacing w:before="0" w:after="40" w:line="240" w:lineRule="auto"/>
      </w:pPr>
      <w:r>
        <w:rPr>
          <w:rFonts w:ascii="Carlito" w:hAnsi="Carlito"/>
          <w:i/>
          <w:color w:val="6B7280"/>
          <w:sz w:val="17"/>
        </w:rPr>
        <w:t>How effectively does sales value convert into contribution margin?</w:t>
      </w:r>
    </w:p>
    <w:p>
      <w:pPr>
        <w:spacing w:before="0" w:after="40" w:line="240" w:lineRule="auto"/>
        <w:jc w:val="center"/>
      </w:pPr>
      <w:r>
        <w:drawing>
          <wp:inline xmlns:a="http://schemas.openxmlformats.org/drawingml/2006/main" xmlns:pic="http://schemas.openxmlformats.org/drawingml/2006/picture">
            <wp:extent cx="4983480" cy="2791041"/>
            <wp:docPr id="3" name="Picture 3"/>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4983480" cy="2791041"/>
                    </a:xfrm>
                    <a:prstGeom prst="rect"/>
                  </pic:spPr>
                </pic:pic>
              </a:graphicData>
            </a:graphic>
          </wp:inline>
        </w:drawing>
      </w:r>
    </w:p>
    <w:tbl>
      <w:tblPr>
        <w:tblW w:type="auto" w:w="0"/>
        <w:jc w:val="center"/>
        <w:tblLayout w:type="fixed"/>
        <w:tblLook w:firstColumn="1" w:firstRow="1" w:lastColumn="0" w:lastRow="0" w:noHBand="0" w:noVBand="1" w:val="04A0"/>
      </w:tblPr>
      <w:tblGrid>
        <w:gridCol w:w="5074"/>
        <w:gridCol w:w="5074"/>
      </w:tblGrid>
      <w:tr>
        <w:tc>
          <w:tcPr>
            <w:tcW w:type="dxa" w:w="4925"/>
            <w:tcMar>
              <w:top w:w="45" w:type="dxa"/>
              <w:start w:w="60" w:type="dxa"/>
              <w:bottom w:w="35" w:type="dxa"/>
              <w:end w:w="60" w:type="dxa"/>
            </w:tcMar>
            <w:shd w:fill="FFFFFF"/>
          </w:tcPr>
          <w:p>
            <w:pPr>
              <w:spacing w:before="0" w:after="20" w:line="240" w:lineRule="auto"/>
              <w:ind w:left="158" w:hanging="115"/>
            </w:pPr>
            <w:r>
              <w:rPr>
                <w:rFonts w:ascii="Carlito" w:hAnsi="Carlito"/>
                <w:b/>
                <w:color w:val="B42355"/>
                <w:sz w:val="15"/>
              </w:rPr>
              <w:t xml:space="preserve">• </w:t>
            </w:r>
            <w:r>
              <w:rPr>
                <w:rFonts w:ascii="Carlito" w:hAnsi="Carlito"/>
                <w:color w:val="252A31"/>
                <w:sz w:val="15"/>
              </w:rPr>
              <w:t>€789.2K Gross Sales produces €127.7K Contribution Margin; 16.2% of Gross Sales is retained.</w:t>
            </w:r>
          </w:p>
          <w:p>
            <w:pPr>
              <w:spacing w:before="0" w:after="20" w:line="240" w:lineRule="auto"/>
              <w:ind w:left="158" w:hanging="115"/>
            </w:pPr>
            <w:r>
              <w:rPr>
                <w:rFonts w:ascii="Carlito" w:hAnsi="Carlito"/>
                <w:b/>
                <w:color w:val="B42355"/>
                <w:sz w:val="15"/>
              </w:rPr>
              <w:t xml:space="preserve">• </w:t>
            </w:r>
            <w:r>
              <w:rPr>
                <w:rFonts w:ascii="Carlito" w:hAnsi="Carlito"/>
                <w:color w:val="252A31"/>
                <w:sz w:val="15"/>
              </w:rPr>
              <w:t>Product Cost is the largest burden at €386.5K, equal to 49.0% of Gross Sales.</w:t>
            </w:r>
          </w:p>
        </w:tc>
        <w:tc>
          <w:tcPr>
            <w:tcW w:type="dxa" w:w="4925"/>
            <w:tcMar>
              <w:top w:w="45" w:type="dxa"/>
              <w:start w:w="60" w:type="dxa"/>
              <w:bottom w:w="35" w:type="dxa"/>
              <w:end w:w="60" w:type="dxa"/>
            </w:tcMar>
            <w:shd w:fill="FFFFFF"/>
          </w:tcPr>
          <w:p>
            <w:pPr>
              <w:spacing w:before="0" w:after="20" w:line="240" w:lineRule="auto"/>
              <w:ind w:left="158" w:hanging="115"/>
            </w:pPr>
            <w:r>
              <w:rPr>
                <w:rFonts w:ascii="Carlito" w:hAnsi="Carlito"/>
                <w:b/>
                <w:color w:val="B42355"/>
                <w:sz w:val="15"/>
              </w:rPr>
              <w:t xml:space="preserve">• </w:t>
            </w:r>
            <w:r>
              <w:rPr>
                <w:rFonts w:ascii="Carlito" w:hAnsi="Carlito"/>
                <w:color w:val="252A31"/>
                <w:sz w:val="15"/>
              </w:rPr>
              <w:t>Discounts remove €77.5K and refunds a further €71.3K before final margin.</w:t>
            </w:r>
          </w:p>
          <w:p>
            <w:pPr>
              <w:spacing w:before="0" w:after="20" w:line="240" w:lineRule="auto"/>
              <w:ind w:left="158" w:hanging="115"/>
            </w:pPr>
            <w:r>
              <w:rPr>
                <w:rFonts w:ascii="Carlito" w:hAnsi="Carlito"/>
                <w:b/>
                <w:color w:val="B42355"/>
                <w:sz w:val="15"/>
              </w:rPr>
              <w:t xml:space="preserve">• </w:t>
            </w:r>
            <w:r>
              <w:rPr>
                <w:rFonts w:ascii="Carlito" w:hAnsi="Carlito"/>
                <w:color w:val="252A31"/>
                <w:sz w:val="15"/>
              </w:rPr>
              <w:t>Variable Operating Cost absorbs €143.0K, or 18.1% of Gross Sales.</w:t>
            </w:r>
          </w:p>
        </w:tc>
      </w:tr>
    </w:tbl>
    <w:p>
      <w:pPr>
        <w:spacing w:before="20" w:after="0" w:line="240" w:lineRule="auto"/>
      </w:pPr>
      <w:r>
        <w:rPr>
          <w:rFonts w:ascii="Carlito" w:hAnsi="Carlito"/>
          <w:b/>
          <w:color w:val="2D4055"/>
          <w:sz w:val="23"/>
        </w:rPr>
        <w:t>Value Leakage</w:t>
      </w:r>
    </w:p>
    <w:p>
      <w:pPr>
        <w:spacing w:before="0" w:after="40" w:line="240" w:lineRule="auto"/>
      </w:pPr>
      <w:r>
        <w:rPr>
          <w:rFonts w:ascii="Carlito" w:hAnsi="Carlito"/>
          <w:i/>
          <w:color w:val="6B7280"/>
          <w:sz w:val="17"/>
        </w:rPr>
        <w:t>Where are commercial and operational losses reducing profitability?</w:t>
      </w:r>
    </w:p>
    <w:p>
      <w:pPr>
        <w:spacing w:before="0" w:after="40" w:line="240" w:lineRule="auto"/>
        <w:jc w:val="center"/>
      </w:pPr>
      <w:r>
        <w:drawing>
          <wp:inline xmlns:a="http://schemas.openxmlformats.org/drawingml/2006/main" xmlns:pic="http://schemas.openxmlformats.org/drawingml/2006/picture">
            <wp:extent cx="4983480" cy="2795907"/>
            <wp:docPr id="4" name="Picture 4"/>
            <wp:cNvGraphicFramePr>
              <a:graphicFrameLocks noChangeAspect="1"/>
            </wp:cNvGraphicFramePr>
            <a:graphic>
              <a:graphicData uri="http://schemas.openxmlformats.org/drawingml/2006/picture">
                <pic:pic>
                  <pic:nvPicPr>
                    <pic:cNvPr id="0" name="Leakage.png"/>
                    <pic:cNvPicPr/>
                  </pic:nvPicPr>
                  <pic:blipFill>
                    <a:blip r:embed="rId13"/>
                    <a:stretch>
                      <a:fillRect/>
                    </a:stretch>
                  </pic:blipFill>
                  <pic:spPr>
                    <a:xfrm>
                      <a:off x="0" y="0"/>
                      <a:ext cx="4983480" cy="2795907"/>
                    </a:xfrm>
                    <a:prstGeom prst="rect"/>
                  </pic:spPr>
                </pic:pic>
              </a:graphicData>
            </a:graphic>
          </wp:inline>
        </w:drawing>
      </w:r>
    </w:p>
    <w:tbl>
      <w:tblPr>
        <w:tblW w:type="auto" w:w="0"/>
        <w:jc w:val="center"/>
        <w:tblLayout w:type="fixed"/>
        <w:tblLook w:firstColumn="1" w:firstRow="1" w:lastColumn="0" w:lastRow="0" w:noHBand="0" w:noVBand="1" w:val="04A0"/>
      </w:tblPr>
      <w:tblGrid>
        <w:gridCol w:w="5074"/>
        <w:gridCol w:w="5074"/>
      </w:tblGrid>
      <w:tr>
        <w:tc>
          <w:tcPr>
            <w:tcW w:type="dxa" w:w="4925"/>
            <w:tcMar>
              <w:top w:w="45" w:type="dxa"/>
              <w:start w:w="60" w:type="dxa"/>
              <w:bottom w:w="35" w:type="dxa"/>
              <w:end w:w="60" w:type="dxa"/>
            </w:tcMar>
            <w:shd w:fill="FFFFFF"/>
          </w:tcPr>
          <w:p>
            <w:pPr>
              <w:spacing w:before="0" w:after="20" w:line="240" w:lineRule="auto"/>
              <w:ind w:left="158" w:hanging="115"/>
            </w:pPr>
            <w:r>
              <w:rPr>
                <w:rFonts w:ascii="Carlito" w:hAnsi="Carlito"/>
                <w:b/>
                <w:color w:val="B42355"/>
                <w:sz w:val="15"/>
              </w:rPr>
              <w:t xml:space="preserve">• </w:t>
            </w:r>
            <w:r>
              <w:rPr>
                <w:rFonts w:ascii="Carlito" w:hAnsi="Carlito"/>
                <w:color w:val="252A31"/>
                <w:sz w:val="15"/>
              </w:rPr>
              <w:t>Returns cost €102.9K; Changed Mind is the largest individual return-loss reason at €25.0K.</w:t>
            </w:r>
          </w:p>
          <w:p>
            <w:pPr>
              <w:spacing w:before="0" w:after="20" w:line="240" w:lineRule="auto"/>
              <w:ind w:left="158" w:hanging="115"/>
            </w:pPr>
            <w:r>
              <w:rPr>
                <w:rFonts w:ascii="Carlito" w:hAnsi="Carlito"/>
                <w:b/>
                <w:color w:val="B42355"/>
                <w:sz w:val="15"/>
              </w:rPr>
              <w:t xml:space="preserve">• </w:t>
            </w:r>
            <w:r>
              <w:rPr>
                <w:rFonts w:ascii="Carlito" w:hAnsi="Carlito"/>
                <w:color w:val="252A31"/>
                <w:sz w:val="15"/>
              </w:rPr>
              <w:t>Lost Sales Value totals €36.7K, with Electronics responsible for 50.9% of the total.</w:t>
            </w:r>
          </w:p>
        </w:tc>
        <w:tc>
          <w:tcPr>
            <w:tcW w:type="dxa" w:w="4925"/>
            <w:tcMar>
              <w:top w:w="45" w:type="dxa"/>
              <w:start w:w="60" w:type="dxa"/>
              <w:bottom w:w="35" w:type="dxa"/>
              <w:end w:w="60" w:type="dxa"/>
            </w:tcMar>
            <w:shd w:fill="FFFFFF"/>
          </w:tcPr>
          <w:p>
            <w:pPr>
              <w:spacing w:before="0" w:after="20" w:line="240" w:lineRule="auto"/>
              <w:ind w:left="158" w:hanging="115"/>
            </w:pPr>
            <w:r>
              <w:rPr>
                <w:rFonts w:ascii="Carlito" w:hAnsi="Carlito"/>
                <w:b/>
                <w:color w:val="B42355"/>
                <w:sz w:val="15"/>
              </w:rPr>
              <w:t xml:space="preserve">• </w:t>
            </w:r>
            <w:r>
              <w:rPr>
                <w:rFonts w:ascii="Carlito" w:hAnsi="Carlito"/>
                <w:color w:val="252A31"/>
                <w:sz w:val="15"/>
              </w:rPr>
              <w:t>Discount Cost is €77.5K, equal to 9.8% of Gross Sales.</w:t>
            </w:r>
          </w:p>
          <w:p>
            <w:pPr>
              <w:spacing w:before="0" w:after="20" w:line="240" w:lineRule="auto"/>
              <w:ind w:left="158" w:hanging="115"/>
            </w:pPr>
            <w:r>
              <w:rPr>
                <w:rFonts w:ascii="Carlito" w:hAnsi="Carlito"/>
                <w:b/>
                <w:color w:val="B42355"/>
                <w:sz w:val="15"/>
              </w:rPr>
              <w:t xml:space="preserve">• </w:t>
            </w:r>
            <w:r>
              <w:rPr>
                <w:rFonts w:ascii="Carlito" w:hAnsi="Carlito"/>
                <w:color w:val="252A31"/>
                <w:sz w:val="15"/>
              </w:rPr>
              <w:t>Channel fees total €26.6K; Marketplace accounts for 37.7% of payment fees.</w:t>
            </w:r>
          </w:p>
        </w:tc>
      </w:tr>
    </w:tbl>
    <w:p>
      <w:r>
        <w:br w:type="page"/>
      </w:r>
    </w:p>
    <w:p>
      <w:pPr>
        <w:keepNext/>
        <w:spacing w:before="0" w:after="20" w:line="240" w:lineRule="auto"/>
      </w:pPr>
      <w:r>
        <w:rPr>
          <w:rFonts w:ascii="Carlito" w:hAnsi="Carlito"/>
          <w:b/>
          <w:color w:val="2D4055"/>
          <w:sz w:val="36"/>
        </w:rPr>
        <w:t>5. Profit Drivers and Customer Profitability</w:t>
      </w:r>
    </w:p>
    <w:p>
      <w:pPr>
        <w:spacing w:before="0" w:after="140" w:line="240" w:lineRule="auto"/>
      </w:pPr>
      <w:r>
        <w:rPr>
          <w:rFonts w:ascii="Carlito" w:hAnsi="Carlito"/>
          <w:i/>
          <w:color w:val="6B7280"/>
          <w:sz w:val="19"/>
        </w:rPr>
        <w:t>Where stronger economics are created and whether customer value is sustainable</w:t>
      </w:r>
    </w:p>
    <w:p>
      <w:pPr>
        <w:spacing w:before="20" w:after="0" w:line="240" w:lineRule="auto"/>
      </w:pPr>
      <w:r>
        <w:rPr>
          <w:rFonts w:ascii="Carlito" w:hAnsi="Carlito"/>
          <w:b/>
          <w:color w:val="2D4055"/>
          <w:sz w:val="23"/>
        </w:rPr>
        <w:t>Profit Drivers</w:t>
      </w:r>
    </w:p>
    <w:p>
      <w:pPr>
        <w:spacing w:before="0" w:after="40" w:line="240" w:lineRule="auto"/>
      </w:pPr>
      <w:r>
        <w:rPr>
          <w:rFonts w:ascii="Carlito" w:hAnsi="Carlito"/>
          <w:i/>
          <w:color w:val="6B7280"/>
          <w:sz w:val="17"/>
        </w:rPr>
        <w:t>What factors are associated with stronger profitability across the business?</w:t>
      </w:r>
    </w:p>
    <w:p>
      <w:pPr>
        <w:spacing w:before="0" w:after="40" w:line="240" w:lineRule="auto"/>
        <w:jc w:val="center"/>
      </w:pPr>
      <w:r>
        <w:drawing>
          <wp:inline xmlns:a="http://schemas.openxmlformats.org/drawingml/2006/main" xmlns:pic="http://schemas.openxmlformats.org/drawingml/2006/picture">
            <wp:extent cx="4983480" cy="2781307"/>
            <wp:docPr id="5" name="Picture 5"/>
            <wp:cNvGraphicFramePr>
              <a:graphicFrameLocks noChangeAspect="1"/>
            </wp:cNvGraphicFramePr>
            <a:graphic>
              <a:graphicData uri="http://schemas.openxmlformats.org/drawingml/2006/picture">
                <pic:pic>
                  <pic:nvPicPr>
                    <pic:cNvPr id="0" name="Drivers.png"/>
                    <pic:cNvPicPr/>
                  </pic:nvPicPr>
                  <pic:blipFill>
                    <a:blip r:embed="rId14"/>
                    <a:stretch>
                      <a:fillRect/>
                    </a:stretch>
                  </pic:blipFill>
                  <pic:spPr>
                    <a:xfrm>
                      <a:off x="0" y="0"/>
                      <a:ext cx="4983480" cy="2781307"/>
                    </a:xfrm>
                    <a:prstGeom prst="rect"/>
                  </pic:spPr>
                </pic:pic>
              </a:graphicData>
            </a:graphic>
          </wp:inline>
        </w:drawing>
      </w:r>
    </w:p>
    <w:tbl>
      <w:tblPr>
        <w:tblW w:type="auto" w:w="0"/>
        <w:jc w:val="center"/>
        <w:tblLayout w:type="fixed"/>
        <w:tblLook w:firstColumn="1" w:firstRow="1" w:lastColumn="0" w:lastRow="0" w:noHBand="0" w:noVBand="1" w:val="04A0"/>
      </w:tblPr>
      <w:tblGrid>
        <w:gridCol w:w="5074"/>
        <w:gridCol w:w="5074"/>
      </w:tblGrid>
      <w:tr>
        <w:tc>
          <w:tcPr>
            <w:tcW w:type="dxa" w:w="4925"/>
            <w:tcMar>
              <w:top w:w="45" w:type="dxa"/>
              <w:start w:w="60" w:type="dxa"/>
              <w:bottom w:w="35" w:type="dxa"/>
              <w:end w:w="60" w:type="dxa"/>
            </w:tcMar>
            <w:shd w:fill="FFFFFF"/>
          </w:tcPr>
          <w:p>
            <w:pPr>
              <w:spacing w:before="0" w:after="20" w:line="240" w:lineRule="auto"/>
              <w:ind w:left="158" w:hanging="115"/>
            </w:pPr>
            <w:r>
              <w:rPr>
                <w:rFonts w:ascii="Carlito" w:hAnsi="Carlito"/>
                <w:b/>
                <w:color w:val="B42355"/>
                <w:sz w:val="15"/>
              </w:rPr>
              <w:t xml:space="preserve">• </w:t>
            </w:r>
            <w:r>
              <w:rPr>
                <w:rFonts w:ascii="Carlito" w:hAnsi="Carlito"/>
                <w:color w:val="252A31"/>
                <w:sz w:val="15"/>
              </w:rPr>
              <w:t>Beauty contributes €48.9K of margin, ahead of Fashion (€27.2K) and Sports &amp; Outdoors (€25.2K).</w:t>
            </w:r>
          </w:p>
          <w:p>
            <w:pPr>
              <w:spacing w:before="0" w:after="20" w:line="240" w:lineRule="auto"/>
              <w:ind w:left="158" w:hanging="115"/>
            </w:pPr>
            <w:r>
              <w:rPr>
                <w:rFonts w:ascii="Carlito" w:hAnsi="Carlito"/>
                <w:b/>
                <w:color w:val="B42355"/>
                <w:sz w:val="15"/>
              </w:rPr>
              <w:t xml:space="preserve">• </w:t>
            </w:r>
            <w:r>
              <w:rPr>
                <w:rFonts w:ascii="Carlito" w:hAnsi="Carlito"/>
                <w:color w:val="252A31"/>
                <w:sz w:val="15"/>
              </w:rPr>
              <w:t>Electronics contributes only €6.4K, highlighting the difference between sales scale and profitability.</w:t>
            </w:r>
          </w:p>
        </w:tc>
        <w:tc>
          <w:tcPr>
            <w:tcW w:type="dxa" w:w="4925"/>
            <w:tcMar>
              <w:top w:w="45" w:type="dxa"/>
              <w:start w:w="60" w:type="dxa"/>
              <w:bottom w:w="35" w:type="dxa"/>
              <w:end w:w="60" w:type="dxa"/>
            </w:tcMar>
            <w:shd w:fill="FFFFFF"/>
          </w:tcPr>
          <w:p>
            <w:pPr>
              <w:spacing w:before="0" w:after="20" w:line="240" w:lineRule="auto"/>
              <w:ind w:left="158" w:hanging="115"/>
            </w:pPr>
            <w:r>
              <w:rPr>
                <w:rFonts w:ascii="Carlito" w:hAnsi="Carlito"/>
                <w:b/>
                <w:color w:val="B42355"/>
                <w:sz w:val="15"/>
              </w:rPr>
              <w:t xml:space="preserve">• </w:t>
            </w:r>
            <w:r>
              <w:rPr>
                <w:rFonts w:ascii="Carlito" w:hAnsi="Carlito"/>
                <w:color w:val="252A31"/>
                <w:sz w:val="15"/>
              </w:rPr>
              <w:t>Mobile App has the strongest transaction economics at €27.89 CM per transaction.</w:t>
            </w:r>
          </w:p>
          <w:p>
            <w:pPr>
              <w:spacing w:before="0" w:after="20" w:line="240" w:lineRule="auto"/>
              <w:ind w:left="158" w:hanging="115"/>
            </w:pPr>
            <w:r>
              <w:rPr>
                <w:rFonts w:ascii="Carlito" w:hAnsi="Carlito"/>
                <w:b/>
                <w:color w:val="B42355"/>
                <w:sz w:val="15"/>
              </w:rPr>
              <w:t xml:space="preserve">• </w:t>
            </w:r>
            <w:r>
              <w:rPr>
                <w:rFonts w:ascii="Carlito" w:hAnsi="Carlito"/>
                <w:color w:val="252A31"/>
                <w:sz w:val="15"/>
              </w:rPr>
              <w:t>UK margin performance is +6.4pp above the company benchmark; Baltics and Central Europe are about -8.2pp below.</w:t>
            </w:r>
          </w:p>
        </w:tc>
      </w:tr>
    </w:tbl>
    <w:p>
      <w:pPr>
        <w:spacing w:before="20" w:after="0" w:line="240" w:lineRule="auto"/>
      </w:pPr>
      <w:r>
        <w:rPr>
          <w:rFonts w:ascii="Carlito" w:hAnsi="Carlito"/>
          <w:b/>
          <w:color w:val="2D4055"/>
          <w:sz w:val="23"/>
        </w:rPr>
        <w:t>Customer Profitability</w:t>
      </w:r>
    </w:p>
    <w:p>
      <w:pPr>
        <w:spacing w:before="0" w:after="40" w:line="240" w:lineRule="auto"/>
      </w:pPr>
      <w:r>
        <w:rPr>
          <w:rFonts w:ascii="Carlito" w:hAnsi="Carlito"/>
          <w:i/>
          <w:color w:val="6B7280"/>
          <w:sz w:val="17"/>
        </w:rPr>
        <w:t>Are acquisition and repeat purchasing creating a sustainably profitable customer base?</w:t>
      </w:r>
    </w:p>
    <w:p>
      <w:pPr>
        <w:spacing w:before="0" w:after="40" w:line="240" w:lineRule="auto"/>
        <w:jc w:val="center"/>
      </w:pPr>
      <w:r>
        <w:drawing>
          <wp:inline xmlns:a="http://schemas.openxmlformats.org/drawingml/2006/main" xmlns:pic="http://schemas.openxmlformats.org/drawingml/2006/picture">
            <wp:extent cx="4983480" cy="2788607"/>
            <wp:docPr id="6" name="Picture 6"/>
            <wp:cNvGraphicFramePr>
              <a:graphicFrameLocks noChangeAspect="1"/>
            </wp:cNvGraphicFramePr>
            <a:graphic>
              <a:graphicData uri="http://schemas.openxmlformats.org/drawingml/2006/picture">
                <pic:pic>
                  <pic:nvPicPr>
                    <pic:cNvPr id="0" name="customers.png"/>
                    <pic:cNvPicPr/>
                  </pic:nvPicPr>
                  <pic:blipFill>
                    <a:blip r:embed="rId15"/>
                    <a:stretch>
                      <a:fillRect/>
                    </a:stretch>
                  </pic:blipFill>
                  <pic:spPr>
                    <a:xfrm>
                      <a:off x="0" y="0"/>
                      <a:ext cx="4983480" cy="2788607"/>
                    </a:xfrm>
                    <a:prstGeom prst="rect"/>
                  </pic:spPr>
                </pic:pic>
              </a:graphicData>
            </a:graphic>
          </wp:inline>
        </w:drawing>
      </w:r>
    </w:p>
    <w:tbl>
      <w:tblPr>
        <w:tblW w:type="auto" w:w="0"/>
        <w:jc w:val="center"/>
        <w:tblLayout w:type="fixed"/>
        <w:tblLook w:firstColumn="1" w:firstRow="1" w:lastColumn="0" w:lastRow="0" w:noHBand="0" w:noVBand="1" w:val="04A0"/>
      </w:tblPr>
      <w:tblGrid>
        <w:gridCol w:w="5074"/>
        <w:gridCol w:w="5074"/>
      </w:tblGrid>
      <w:tr>
        <w:tc>
          <w:tcPr>
            <w:tcW w:type="dxa" w:w="4925"/>
            <w:tcMar>
              <w:top w:w="45" w:type="dxa"/>
              <w:start w:w="60" w:type="dxa"/>
              <w:bottom w:w="35" w:type="dxa"/>
              <w:end w:w="60" w:type="dxa"/>
            </w:tcMar>
            <w:shd w:fill="FFFFFF"/>
          </w:tcPr>
          <w:p>
            <w:pPr>
              <w:spacing w:before="0" w:after="20" w:line="240" w:lineRule="auto"/>
              <w:ind w:left="158" w:hanging="115"/>
            </w:pPr>
            <w:r>
              <w:rPr>
                <w:rFonts w:ascii="Carlito" w:hAnsi="Carlito"/>
                <w:b/>
                <w:color w:val="B42355"/>
                <w:sz w:val="15"/>
              </w:rPr>
              <w:t xml:space="preserve">• </w:t>
            </w:r>
            <w:r>
              <w:rPr>
                <w:rFonts w:ascii="Carlito" w:hAnsi="Carlito"/>
                <w:color w:val="252A31"/>
                <w:sz w:val="15"/>
              </w:rPr>
              <w:t>2,200 active customers generate €58.02 Contribution Margin per active customer.</w:t>
            </w:r>
          </w:p>
          <w:p>
            <w:pPr>
              <w:spacing w:before="0" w:after="20" w:line="240" w:lineRule="auto"/>
              <w:ind w:left="158" w:hanging="115"/>
            </w:pPr>
            <w:r>
              <w:rPr>
                <w:rFonts w:ascii="Carlito" w:hAnsi="Carlito"/>
                <w:b/>
                <w:color w:val="B42355"/>
                <w:sz w:val="15"/>
              </w:rPr>
              <w:t xml:space="preserve">• </w:t>
            </w:r>
            <w:r>
              <w:rPr>
                <w:rFonts w:ascii="Carlito" w:hAnsi="Carlito"/>
                <w:color w:val="252A31"/>
                <w:sz w:val="15"/>
              </w:rPr>
              <w:t>Repeat purchases generate €95.0K, representing 74.4% of total Contribution Margin.</w:t>
            </w:r>
          </w:p>
        </w:tc>
        <w:tc>
          <w:tcPr>
            <w:tcW w:type="dxa" w:w="4925"/>
            <w:tcMar>
              <w:top w:w="45" w:type="dxa"/>
              <w:start w:w="60" w:type="dxa"/>
              <w:bottom w:w="35" w:type="dxa"/>
              <w:end w:w="60" w:type="dxa"/>
            </w:tcMar>
            <w:shd w:fill="FFFFFF"/>
          </w:tcPr>
          <w:p>
            <w:pPr>
              <w:spacing w:before="0" w:after="20" w:line="240" w:lineRule="auto"/>
              <w:ind w:left="158" w:hanging="115"/>
            </w:pPr>
            <w:r>
              <w:rPr>
                <w:rFonts w:ascii="Carlito" w:hAnsi="Carlito"/>
                <w:b/>
                <w:color w:val="B42355"/>
                <w:sz w:val="15"/>
              </w:rPr>
              <w:t xml:space="preserve">• </w:t>
            </w:r>
            <w:r>
              <w:rPr>
                <w:rFonts w:ascii="Carlito" w:hAnsi="Carlito"/>
                <w:color w:val="252A31"/>
                <w:sz w:val="15"/>
              </w:rPr>
              <w:t>New customers generate about 1.45× acquisition cost in Contribution Margin; average CAC is €10.23.</w:t>
            </w:r>
          </w:p>
          <w:p>
            <w:pPr>
              <w:spacing w:before="0" w:after="20" w:line="240" w:lineRule="auto"/>
              <w:ind w:left="158" w:hanging="115"/>
            </w:pPr>
            <w:r>
              <w:rPr>
                <w:rFonts w:ascii="Carlito" w:hAnsi="Carlito"/>
                <w:b/>
                <w:color w:val="B42355"/>
                <w:sz w:val="15"/>
              </w:rPr>
              <w:t xml:space="preserve">• </w:t>
            </w:r>
            <w:r>
              <w:rPr>
                <w:rFonts w:ascii="Carlito" w:hAnsi="Carlito"/>
                <w:color w:val="252A31"/>
                <w:sz w:val="15"/>
              </w:rPr>
              <w:t>6.9% of repeat-customer margin is at risk; VIP customers generate the highest margin per customer.</w:t>
            </w:r>
          </w:p>
        </w:tc>
      </w:tr>
    </w:tbl>
    <w:p>
      <w:r>
        <w:br w:type="page"/>
      </w:r>
    </w:p>
    <w:p>
      <w:pPr>
        <w:keepNext/>
        <w:spacing w:before="0" w:after="20" w:line="240" w:lineRule="auto"/>
      </w:pPr>
      <w:r>
        <w:rPr>
          <w:rFonts w:ascii="Carlito" w:hAnsi="Carlito"/>
          <w:b/>
          <w:color w:val="2D4055"/>
          <w:sz w:val="36"/>
        </w:rPr>
        <w:t>6. Recommendations</w:t>
      </w:r>
    </w:p>
    <w:p>
      <w:pPr>
        <w:spacing w:before="0" w:after="140" w:line="240" w:lineRule="auto"/>
      </w:pPr>
      <w:r>
        <w:rPr>
          <w:rFonts w:ascii="Carlito" w:hAnsi="Carlito"/>
          <w:i/>
          <w:color w:val="6B7280"/>
          <w:sz w:val="19"/>
        </w:rPr>
        <w:t>Evidence-led priorities for improving profitability</w:t>
      </w:r>
    </w:p>
    <w:p>
      <w:pPr>
        <w:keepNext/>
        <w:spacing w:before="60" w:after="20" w:line="247" w:lineRule="auto"/>
      </w:pPr>
      <w:r>
        <w:rPr>
          <w:rFonts w:ascii="Carlito" w:hAnsi="Carlito"/>
          <w:b/>
          <w:color w:val="2D4055"/>
          <w:sz w:val="20"/>
        </w:rPr>
        <w:t>1. Review product economics, not sales volume alone.</w:t>
      </w:r>
    </w:p>
    <w:p>
      <w:pPr>
        <w:spacing w:before="0" w:after="80" w:line="247" w:lineRule="auto"/>
      </w:pPr>
      <w:r>
        <w:rPr>
          <w:rFonts w:ascii="Carlito" w:hAnsi="Carlito"/>
          <w:color w:val="252A31"/>
          <w:sz w:val="18"/>
        </w:rPr>
        <w:t>Product Cost absorbs 49.0% of Gross Sales, while some commercially significant categories generate relatively weak Contribution Margin. Electronics, for example, contributes only €6.4K of margin and also accounts for 50.9% of lost sales value. Product and assortment decisions should therefore consider margin quality alongside revenue.</w:t>
      </w:r>
    </w:p>
    <w:p>
      <w:pPr>
        <w:keepNext/>
        <w:spacing w:before="60" w:after="20" w:line="247" w:lineRule="auto"/>
      </w:pPr>
      <w:r>
        <w:rPr>
          <w:rFonts w:ascii="Carlito" w:hAnsi="Carlito"/>
          <w:b/>
          <w:color w:val="2D4055"/>
          <w:sz w:val="20"/>
        </w:rPr>
        <w:t>2. Reduce the largest sources of return-related loss.</w:t>
      </w:r>
    </w:p>
    <w:p>
      <w:pPr>
        <w:spacing w:before="0" w:after="80" w:line="247" w:lineRule="auto"/>
      </w:pPr>
      <w:r>
        <w:rPr>
          <w:rFonts w:ascii="Carlito" w:hAnsi="Carlito"/>
          <w:color w:val="252A31"/>
          <w:sz w:val="18"/>
        </w:rPr>
        <w:t>Returns generate €102.9K in cost, with Changed Mind, Defective Product and Size/Fit issues contributing the largest losses. Drill into category, subcategory and product to identify where product information, quality or fit issues can be addressed.</w:t>
      </w:r>
    </w:p>
    <w:p>
      <w:pPr>
        <w:keepNext/>
        <w:spacing w:before="60" w:after="20" w:line="247" w:lineRule="auto"/>
      </w:pPr>
      <w:r>
        <w:rPr>
          <w:rFonts w:ascii="Carlito" w:hAnsi="Carlito"/>
          <w:b/>
          <w:color w:val="2D4055"/>
          <w:sz w:val="20"/>
        </w:rPr>
        <w:t>3. Tighten discounting where margin does not justify the reduction in price.</w:t>
      </w:r>
    </w:p>
    <w:p>
      <w:pPr>
        <w:spacing w:before="0" w:after="80" w:line="247" w:lineRule="auto"/>
      </w:pPr>
      <w:r>
        <w:rPr>
          <w:rFonts w:ascii="Carlito" w:hAnsi="Carlito"/>
          <w:color w:val="252A31"/>
          <w:sz w:val="18"/>
        </w:rPr>
        <w:t>Discounts remove €77.5K, equivalent to 9.8% of Gross Sales, and the campaign analysis shows weaker margin performance among some of the more heavily discounted promotions. Promotions should be judged on the Contribution Margin they retain, not only the sales they generate.</w:t>
      </w:r>
    </w:p>
    <w:p>
      <w:pPr>
        <w:keepNext/>
        <w:spacing w:before="60" w:after="20" w:line="247" w:lineRule="auto"/>
      </w:pPr>
      <w:r>
        <w:rPr>
          <w:rFonts w:ascii="Carlito" w:hAnsi="Carlito"/>
          <w:b/>
          <w:color w:val="2D4055"/>
          <w:sz w:val="20"/>
        </w:rPr>
        <w:t>4. Address inventory-related lost sales, particularly in Electronics.</w:t>
      </w:r>
    </w:p>
    <w:p>
      <w:pPr>
        <w:spacing w:before="0" w:after="80" w:line="247" w:lineRule="auto"/>
      </w:pPr>
      <w:r>
        <w:rPr>
          <w:rFonts w:ascii="Carlito" w:hAnsi="Carlito"/>
          <w:color w:val="252A31"/>
          <w:sz w:val="18"/>
        </w:rPr>
        <w:t>Lost Sales Value totals €36.7K, with Electronics responsible for 50.9% of the total. Availability planning should prioritise the products and categories where stock constraints are suppressing otherwise valuable demand.</w:t>
      </w:r>
    </w:p>
    <w:p>
      <w:pPr>
        <w:keepNext/>
        <w:spacing w:before="60" w:after="20" w:line="247" w:lineRule="auto"/>
      </w:pPr>
      <w:r>
        <w:rPr>
          <w:rFonts w:ascii="Carlito" w:hAnsi="Carlito"/>
          <w:b/>
          <w:color w:val="2D4055"/>
          <w:sz w:val="20"/>
        </w:rPr>
        <w:t>5. Protect repeat-customer profitability.</w:t>
      </w:r>
    </w:p>
    <w:p>
      <w:pPr>
        <w:spacing w:before="0" w:after="80" w:line="247" w:lineRule="auto"/>
      </w:pPr>
      <w:r>
        <w:rPr>
          <w:rFonts w:ascii="Carlito" w:hAnsi="Carlito"/>
          <w:color w:val="252A31"/>
          <w:sz w:val="18"/>
        </w:rPr>
        <w:t>Repeat purchases generate €95.0K, or 74.4% of total Contribution Margin, while 6.9% of repeat-customer margin is at risk. Retention activity should focus on high-value repeat customers and segments where the financial exposure is greatest.</w:t>
      </w:r>
    </w:p>
    <w:p>
      <w:pPr>
        <w:keepNext/>
        <w:spacing w:before="60" w:after="20" w:line="247" w:lineRule="auto"/>
      </w:pPr>
      <w:r>
        <w:rPr>
          <w:rFonts w:ascii="Carlito" w:hAnsi="Carlito"/>
          <w:b/>
          <w:color w:val="2D4055"/>
          <w:sz w:val="20"/>
        </w:rPr>
        <w:t>6. Investigate weaker channel and regional economics before scaling growth.</w:t>
      </w:r>
    </w:p>
    <w:p>
      <w:pPr>
        <w:spacing w:before="0" w:after="80" w:line="247" w:lineRule="auto"/>
      </w:pPr>
      <w:r>
        <w:rPr>
          <w:rFonts w:ascii="Carlito" w:hAnsi="Carlito"/>
          <w:color w:val="252A31"/>
          <w:sz w:val="18"/>
        </w:rPr>
        <w:t>Mobile App generates €27.89 Contribution Margin per transaction, while regional margin performance ranges from +6.4pp above the company benchmark in the UK to around -8.2pp in the Baltics and Central Europe. Growth decisions should consider both route-to-market economics and regional margin performance.</w:t>
      </w:r>
    </w:p>
    <w:tbl>
      <w:tblPr>
        <w:tblW w:type="auto" w:w="0"/>
        <w:jc w:val="center"/>
        <w:tblLayout w:type="fixed"/>
        <w:tblLook w:firstColumn="1" w:firstRow="1" w:lastColumn="0" w:lastRow="0" w:noHBand="0" w:noVBand="1" w:val="04A0"/>
      </w:tblPr>
      <w:tblGrid>
        <w:gridCol w:w="10148"/>
      </w:tblGrid>
      <w:tr>
        <w:tc>
          <w:tcPr>
            <w:tcW w:type="dxa" w:w="10224"/>
            <w:shd w:fill="EEF3F7"/>
            <w:tcBorders>
              <w:top w:val="nil"/>
              <w:left w:val="single" w:sz="18" w:color="B42355"/>
              <w:bottom w:val="nil"/>
              <w:right w:val="nil"/>
            </w:tcBorders>
            <w:tcMar>
              <w:top w:w="100" w:type="dxa"/>
              <w:start w:w="130" w:type="dxa"/>
              <w:bottom w:w="100" w:type="dxa"/>
              <w:end w:w="120" w:type="dxa"/>
            </w:tcMar>
          </w:tcPr>
          <w:p>
            <w:pPr>
              <w:spacing w:before="0" w:after="40" w:line="240" w:lineRule="auto"/>
            </w:pPr>
            <w:r>
              <w:rPr>
                <w:rFonts w:ascii="Carlito" w:hAnsi="Carlito"/>
                <w:b/>
                <w:color w:val="2D4055"/>
                <w:sz w:val="18"/>
              </w:rPr>
              <w:t>Decision value</w:t>
            </w:r>
          </w:p>
          <w:p>
            <w:pPr>
              <w:spacing w:before="0" w:after="0" w:line="252" w:lineRule="auto"/>
            </w:pPr>
            <w:r>
              <w:rPr>
                <w:rFonts w:ascii="Carlito" w:hAnsi="Carlito"/>
                <w:color w:val="252A31"/>
                <w:sz w:val="18"/>
              </w:rPr>
              <w:t>Profitability improvement is unlikely to come from one intervention. The strongest opportunity is to combine better product economics, lower leakage, disciplined discounting, stronger availability and protection of repeat-customer value.</w:t>
            </w:r>
          </w:p>
        </w:tc>
      </w:tr>
    </w:tbl>
    <w:p>
      <w:r>
        <w:br w:type="page"/>
      </w:r>
    </w:p>
    <w:p>
      <w:pPr>
        <w:keepNext/>
        <w:spacing w:before="0" w:after="20" w:line="240" w:lineRule="auto"/>
      </w:pPr>
      <w:r>
        <w:rPr>
          <w:rFonts w:ascii="Carlito" w:hAnsi="Carlito"/>
          <w:b/>
          <w:color w:val="2D4055"/>
          <w:sz w:val="36"/>
        </w:rPr>
        <w:t>7. Limitations and Project Summary</w:t>
      </w:r>
    </w:p>
    <w:p>
      <w:pPr>
        <w:spacing w:before="0" w:after="140" w:line="240" w:lineRule="auto"/>
      </w:pPr>
      <w:r>
        <w:rPr>
          <w:rFonts w:ascii="Carlito" w:hAnsi="Carlito"/>
          <w:i/>
          <w:color w:val="6B7280"/>
          <w:sz w:val="19"/>
        </w:rPr>
        <w:t>Transparent assumptions strengthen the credibility of the analysis</w:t>
      </w:r>
    </w:p>
    <w:p>
      <w:pPr>
        <w:keepNext/>
        <w:spacing w:before="80" w:after="60" w:line="240" w:lineRule="auto"/>
      </w:pPr>
      <w:r>
        <w:rPr>
          <w:rFonts w:ascii="Carlito" w:hAnsi="Carlito"/>
          <w:b/>
          <w:color w:val="2D4055"/>
          <w:sz w:val="23"/>
        </w:rPr>
        <w:t>Analytical limitations</w:t>
      </w:r>
    </w:p>
    <w:p>
      <w:pPr>
        <w:pStyle w:val="ListBullet"/>
        <w:spacing w:before="0" w:after="44" w:line="245" w:lineRule="auto"/>
        <w:ind w:left="259" w:hanging="173"/>
      </w:pPr>
      <w:r>
        <w:rPr>
          <w:rFonts w:ascii="Carlito" w:hAnsi="Carlito"/>
          <w:color w:val="252A31"/>
          <w:sz w:val="17"/>
        </w:rPr>
        <w:t>Synthetic challenge data: findings demonstrate analytical methods rather than conclusions about a live business.</w:t>
      </w:r>
    </w:p>
    <w:p>
      <w:pPr>
        <w:pStyle w:val="ListBullet"/>
        <w:spacing w:before="0" w:after="44" w:line="245" w:lineRule="auto"/>
        <w:ind w:left="259" w:hanging="173"/>
      </w:pPr>
      <w:r>
        <w:rPr>
          <w:rFonts w:ascii="Carlito" w:hAnsi="Carlito"/>
          <w:color w:val="252A31"/>
          <w:sz w:val="17"/>
        </w:rPr>
        <w:t>Association, not causation: the report identifies relationships and performance differences but cannot prove that one variable directly causes another.</w:t>
      </w:r>
    </w:p>
    <w:p>
      <w:pPr>
        <w:pStyle w:val="ListBullet"/>
        <w:spacing w:before="0" w:after="44" w:line="245" w:lineRule="auto"/>
        <w:ind w:left="259" w:hanging="173"/>
      </w:pPr>
      <w:r>
        <w:rPr>
          <w:rFonts w:ascii="Carlito" w:hAnsi="Carlito"/>
          <w:color w:val="252A31"/>
          <w:sz w:val="17"/>
        </w:rPr>
        <w:t>Contribution Margin is not net profit: fixed overheads, tax, capital costs and other non-variable expenses are outside the analysis.</w:t>
      </w:r>
    </w:p>
    <w:p>
      <w:pPr>
        <w:pStyle w:val="ListBullet"/>
        <w:spacing w:before="0" w:after="44" w:line="245" w:lineRule="auto"/>
        <w:ind w:left="259" w:hanging="173"/>
      </w:pPr>
      <w:r>
        <w:rPr>
          <w:rFonts w:ascii="Carlito" w:hAnsi="Carlito"/>
          <w:color w:val="252A31"/>
          <w:sz w:val="17"/>
        </w:rPr>
        <w:t>Regional variance is relative to the overall company Contribution Margin rate; it is a benchmark signal rather than a prescribed target.</w:t>
      </w:r>
    </w:p>
    <w:p>
      <w:pPr>
        <w:pStyle w:val="ListBullet"/>
        <w:spacing w:before="0" w:after="44" w:line="245" w:lineRule="auto"/>
        <w:ind w:left="259" w:hanging="173"/>
      </w:pPr>
      <w:r>
        <w:rPr>
          <w:rFonts w:ascii="Carlito" w:hAnsi="Carlito"/>
          <w:color w:val="252A31"/>
          <w:sz w:val="17"/>
        </w:rPr>
        <w:t>Contribution Margin at Risk represents value associated with customers classified as At Risk; it is exposure, not a prediction that the value will definitely be lost.</w:t>
      </w:r>
    </w:p>
    <w:p>
      <w:pPr>
        <w:pStyle w:val="ListBullet"/>
        <w:spacing w:before="0" w:after="44" w:line="245" w:lineRule="auto"/>
        <w:ind w:left="259" w:hanging="173"/>
      </w:pPr>
      <w:r>
        <w:rPr>
          <w:rFonts w:ascii="Carlito" w:hAnsi="Carlito"/>
          <w:color w:val="252A31"/>
          <w:sz w:val="17"/>
        </w:rPr>
        <w:t>Acquisition measures use the available reporting period and do not represent a complete customer lifetime-value model.</w:t>
      </w:r>
    </w:p>
    <w:p>
      <w:pPr>
        <w:pStyle w:val="ListBullet"/>
        <w:spacing w:before="0" w:after="44" w:line="245" w:lineRule="auto"/>
        <w:ind w:left="259" w:hanging="173"/>
      </w:pPr>
      <w:r>
        <w:rPr>
          <w:rFonts w:ascii="Carlito" w:hAnsi="Carlito"/>
          <w:color w:val="252A31"/>
          <w:sz w:val="17"/>
        </w:rPr>
        <w:t>Lost sales, return losses and fulfilment measures rely on the definitions supplied in the challenge dataset and would require production validation.</w:t>
      </w:r>
    </w:p>
    <w:p>
      <w:pPr>
        <w:keepNext/>
        <w:spacing w:before="80" w:after="60" w:line="240" w:lineRule="auto"/>
      </w:pPr>
      <w:r>
        <w:rPr>
          <w:rFonts w:ascii="Carlito" w:hAnsi="Carlito"/>
          <w:b/>
          <w:color w:val="2D4055"/>
          <w:sz w:val="23"/>
        </w:rPr>
        <w:t>Future enhancements</w:t>
      </w:r>
    </w:p>
    <w:p>
      <w:pPr>
        <w:pStyle w:val="ListBullet"/>
        <w:spacing w:before="0" w:after="44" w:line="245" w:lineRule="auto"/>
        <w:ind w:left="259" w:hanging="173"/>
      </w:pPr>
      <w:r>
        <w:rPr>
          <w:rFonts w:ascii="Carlito" w:hAnsi="Carlito"/>
          <w:color w:val="252A31"/>
          <w:sz w:val="17"/>
        </w:rPr>
        <w:t>Add forecasting for sales, contribution margin and customer value.</w:t>
      </w:r>
    </w:p>
    <w:p>
      <w:pPr>
        <w:pStyle w:val="ListBullet"/>
        <w:spacing w:before="0" w:after="44" w:line="245" w:lineRule="auto"/>
        <w:ind w:left="259" w:hanging="173"/>
      </w:pPr>
      <w:r>
        <w:rPr>
          <w:rFonts w:ascii="Carlito" w:hAnsi="Carlito"/>
          <w:color w:val="252A31"/>
          <w:sz w:val="17"/>
        </w:rPr>
        <w:t>Extend customer analysis into formal cohort-based lifetime value.</w:t>
      </w:r>
    </w:p>
    <w:p>
      <w:pPr>
        <w:pStyle w:val="ListBullet"/>
        <w:spacing w:before="0" w:after="44" w:line="245" w:lineRule="auto"/>
        <w:ind w:left="259" w:hanging="173"/>
      </w:pPr>
      <w:r>
        <w:rPr>
          <w:rFonts w:ascii="Carlito" w:hAnsi="Carlito"/>
          <w:color w:val="252A31"/>
          <w:sz w:val="17"/>
        </w:rPr>
        <w:t>Introduce product-level profitability thresholds and exception reporting.</w:t>
      </w:r>
    </w:p>
    <w:p>
      <w:pPr>
        <w:pStyle w:val="ListBullet"/>
        <w:spacing w:before="0" w:after="44" w:line="245" w:lineRule="auto"/>
        <w:ind w:left="259" w:hanging="173"/>
      </w:pPr>
      <w:r>
        <w:rPr>
          <w:rFonts w:ascii="Carlito" w:hAnsi="Carlito"/>
          <w:color w:val="252A31"/>
          <w:sz w:val="17"/>
        </w:rPr>
        <w:t>Add scenario analysis for discount, product-cost and fulfilment-cost changes.</w:t>
      </w:r>
    </w:p>
    <w:p>
      <w:pPr>
        <w:pStyle w:val="ListBullet"/>
        <w:spacing w:before="0" w:after="44" w:line="245" w:lineRule="auto"/>
        <w:ind w:left="259" w:hanging="173"/>
      </w:pPr>
      <w:r>
        <w:rPr>
          <w:rFonts w:ascii="Carlito" w:hAnsi="Carlito"/>
          <w:color w:val="252A31"/>
          <w:sz w:val="17"/>
        </w:rPr>
        <w:t>Integrate inventory availability with demand forecasting to quantify preventable lost sales.</w:t>
      </w:r>
    </w:p>
    <w:p>
      <w:pPr>
        <w:pStyle w:val="ListBullet"/>
        <w:spacing w:before="0" w:after="44" w:line="245" w:lineRule="auto"/>
        <w:ind w:left="259" w:hanging="173"/>
      </w:pPr>
      <w:r>
        <w:rPr>
          <w:rFonts w:ascii="Carlito" w:hAnsi="Carlito"/>
          <w:color w:val="252A31"/>
          <w:sz w:val="17"/>
        </w:rPr>
        <w:t>Add automated data-quality monitoring and documented measure definitions for production deployment.</w:t>
      </w:r>
    </w:p>
    <w:p>
      <w:pPr>
        <w:keepNext/>
        <w:spacing w:before="80" w:after="60" w:line="240" w:lineRule="auto"/>
      </w:pPr>
      <w:r>
        <w:rPr>
          <w:rFonts w:ascii="Carlito" w:hAnsi="Carlito"/>
          <w:b/>
          <w:color w:val="2D4055"/>
          <w:sz w:val="23"/>
        </w:rPr>
        <w:t>Project links</w:t>
      </w:r>
    </w:p>
    <w:p>
      <w:pPr>
        <w:spacing w:before="0" w:after="40" w:line="240" w:lineRule="auto"/>
      </w:pPr>
      <w:r>
        <w:rPr>
          <w:rFonts w:ascii="Carlito" w:hAnsi="Carlito"/>
          <w:b/>
          <w:color w:val="2D4055"/>
          <w:sz w:val="18"/>
        </w:rPr>
        <w:t xml:space="preserve">Interactive Power BI report: </w:t>
      </w:r>
      <w:hyperlink r:id="rId16">
        <w:r>
          <w:rPr>
            <w:color w:val="0563C1"/>
            <w:u w:val="single"/>
            <w:rFonts w:ascii="Carlito" w:hAnsi="Carlito"/>
          </w:rPr>
          <w:t>View the live dashboard</w:t>
        </w:r>
      </w:hyperlink>
    </w:p>
    <w:p>
      <w:pPr>
        <w:spacing w:before="0" w:after="100" w:line="240" w:lineRule="auto"/>
      </w:pPr>
      <w:r>
        <w:rPr>
          <w:rFonts w:ascii="Carlito" w:hAnsi="Carlito"/>
          <w:b/>
          <w:color w:val="2D4055"/>
          <w:sz w:val="18"/>
        </w:rPr>
        <w:t xml:space="preserve">GitHub repository: </w:t>
      </w:r>
      <w:r>
        <w:rPr>
          <w:rFonts w:ascii="Carlito" w:hAnsi="Carlito"/>
          <w:color w:val="252A31"/>
          <w:sz w:val="18"/>
        </w:rPr>
        <w:t>ecommerce-profitability-analysis</w:t>
      </w:r>
    </w:p>
    <w:p>
      <w:pPr>
        <w:keepNext/>
        <w:spacing w:before="80" w:after="60" w:line="240" w:lineRule="auto"/>
      </w:pPr>
      <w:r>
        <w:rPr>
          <w:rFonts w:ascii="Carlito" w:hAnsi="Carlito"/>
          <w:b/>
          <w:color w:val="2D4055"/>
          <w:sz w:val="23"/>
        </w:rPr>
        <w:t>Final reflection</w:t>
      </w:r>
    </w:p>
    <w:p>
      <w:pPr>
        <w:spacing w:before="0" w:after="80" w:line="252" w:lineRule="auto"/>
      </w:pPr>
      <w:r>
        <w:rPr>
          <w:rFonts w:ascii="Carlito" w:hAnsi="Carlito"/>
          <w:color w:val="252A31"/>
          <w:sz w:val="18"/>
        </w:rPr>
        <w:t>The main analytical challenge was not calculating sales or margin individually, but organising the report around the full journey from revenue generation to retained value. Separating the analysis into Executive Overview, Value Leakage, Profit Drivers and Customer Profitability makes it possible to distinguish what the business sells from what it actually retains, where value is being eroded, and which commercial and customer behaviours support stronger profitability.</w:t>
      </w:r>
    </w:p>
    <w:tbl>
      <w:tblPr>
        <w:tblW w:type="auto" w:w="0"/>
        <w:jc w:val="center"/>
        <w:tblLayout w:type="fixed"/>
        <w:tblLook w:firstColumn="1" w:firstRow="1" w:lastColumn="0" w:lastRow="0" w:noHBand="0" w:noVBand="1" w:val="04A0"/>
      </w:tblPr>
      <w:tblGrid>
        <w:gridCol w:w="10148"/>
      </w:tblGrid>
      <w:tr>
        <w:tc>
          <w:tcPr>
            <w:tcW w:type="dxa" w:w="10224"/>
            <w:shd w:fill="F8EAF0"/>
            <w:tcBorders>
              <w:top w:val="nil"/>
              <w:left w:val="single" w:sz="18" w:color="B42355"/>
              <w:bottom w:val="nil"/>
              <w:right w:val="nil"/>
            </w:tcBorders>
            <w:tcMar>
              <w:top w:w="100" w:type="dxa"/>
              <w:start w:w="130" w:type="dxa"/>
              <w:bottom w:w="100" w:type="dxa"/>
              <w:end w:w="120" w:type="dxa"/>
            </w:tcMar>
          </w:tcPr>
          <w:p>
            <w:pPr>
              <w:spacing w:before="0" w:after="40" w:line="240" w:lineRule="auto"/>
            </w:pPr>
            <w:r>
              <w:rPr>
                <w:rFonts w:ascii="Carlito" w:hAnsi="Carlito"/>
                <w:b/>
                <w:color w:val="2D4055"/>
                <w:sz w:val="18"/>
              </w:rPr>
              <w:t>Project outcome</w:t>
            </w:r>
          </w:p>
          <w:p>
            <w:pPr>
              <w:spacing w:before="0" w:after="0" w:line="252" w:lineRule="auto"/>
            </w:pPr>
            <w:r>
              <w:rPr>
                <w:rFonts w:ascii="Carlito" w:hAnsi="Carlito"/>
                <w:color w:val="252A31"/>
                <w:sz w:val="18"/>
              </w:rPr>
              <w:t>A concise four-page decision interface that connects financial performance, value leakage, commercial drivers and customer economics in one profitability narrative.</w:t>
            </w:r>
          </w:p>
        </w:tc>
      </w:tr>
    </w:tbl>
    <w:sectPr w:rsidR="00FC693F" w:rsidRPr="0006063C" w:rsidSect="00034616">
      <w:headerReference w:type="default" r:id="rId9"/>
      <w:footerReference w:type="default" r:id="rId10"/>
      <w:pgSz w:w="11906" w:h="16838"/>
      <w:pgMar w:top="709" w:right="879" w:bottom="709" w:left="879" w:header="312" w:footer="31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6B7280"/>
        <w:sz w:val="15"/>
      </w:rPr>
      <w:t xml:space="preserve">Portfolio case study  |  Page </w:t>
    </w:r>
    <w:r>
      <w:rPr>
        <w:rFonts w:ascii="Carlito" w:hAnsi="Carlito"/>
        <w:color w:val="6B728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b/>
        <w:color w:val="3E5168"/>
        <w:sz w:val="14"/>
      </w:rPr>
      <w:t>E-COMMERCE PROFITABILITY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Carlito" w:hAnsi="Carlito"/>
      <w:color w:val="252A3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app.powerbi.com/view?r=eyJrIjoiYmVkZmE0ZmEtN2ZjNS00Njc5LWIwY2ItZmQ2YmFhNmFkZTI5IiwidCI6IjQ2NTRiNmYxLTBlNDctNDU3OS1hOGExLTAyZmU5ZDk0M2M3YiIsImMiOjl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Profitability Analysis - Portfolio Case Study</dc:title>
  <dc:subject>Power BI portfolio case study</dc:subject>
  <dc:creator>Portfolio Project</dc:creator>
  <cp:keywords>Power BI, DAX, ecommerce, profitability, business analysis, ZoomCharts</cp:keywords>
  <dc:description>generated by python-docx</dc:description>
  <cp:lastModifiedBy/>
  <cp:revision>1</cp:revision>
  <dcterms:created xsi:type="dcterms:W3CDTF">2013-12-23T23:15:00Z</dcterms:created>
  <dcterms:modified xsi:type="dcterms:W3CDTF">2013-12-23T23:15:00Z</dcterms:modified>
  <cp:category/>
</cp:coreProperties>
</file>