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2800" w:hRule="exact"/>
        </w:trPr>
        <w:tc>
          <w:tcPr>
            <w:tcW w:type="dxa" w:w="11906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8"/>
                <w:szCs w:val="28"/>
              </w:rPr>
              <w:t xml:space="preserve">BIG DATA APLICADO</w:t>
            </w:r>
          </w:p>
          <w:p>
            <w:pPr>
              <w:jc w:val="center"/>
            </w:pPr>
            <w:r>
              <w:rPr>
                <w:rFonts w:ascii="Atkinson Hyperlegible" w:cs="Atkinson Hyperlegible" w:eastAsia="Atkinson Hyperlegible" w:hAnsi="Atkinson Hyperlegible"/>
                <w:color w:val="BFDBFE"/>
                <w:sz w:val="20"/>
                <w:szCs w:val="20"/>
              </w:rPr>
              <w:t xml:space="preserve">Curso 2025 / 2026</w:t>
            </w:r>
          </w:p>
        </w:tc>
      </w:tr>
    </w:tbl>
    <w:p>
      <w:pPr>
        <w:spacing w:before="3000"/>
      </w:pPr>
    </w:p>
    <w:p>
      <w:pPr>
        <w:spacing w:after="200"/>
        <w:ind w:left="1440" w:right="1440"/>
        <w:jc w:val="center"/>
      </w:pPr>
      <w:r>
        <w:rPr>
          <w:rFonts w:ascii="Atkinson Hyperlegible" w:cs="Atkinson Hyperlegible" w:eastAsia="Atkinson Hyperlegible" w:hAnsi="Atkinson Hyperlegible"/>
          <w:b/>
          <w:bCs/>
          <w:color w:val="1E293B"/>
          <w:sz w:val="72"/>
          <w:szCs w:val="72"/>
        </w:rPr>
        <w:t xml:space="preserve">RETO 02</w:t>
      </w:r>
    </w:p>
    <w:p>
      <w:pPr>
        <w:spacing w:after="120"/>
        <w:ind w:left="1440" w:right="1440"/>
        <w:jc w:val="center"/>
      </w:pPr>
      <w:r>
        <w:rPr>
          <w:rFonts w:ascii="Atkinson Hyperlegible" w:cs="Atkinson Hyperlegible" w:eastAsia="Atkinson Hyperlegible" w:hAnsi="Atkinson Hyperlegible"/>
          <w:color w:val="2563EB"/>
          <w:sz w:val="44"/>
          <w:szCs w:val="44"/>
        </w:rPr>
        <w:t xml:space="preserve">Un Regalo</w:t>
      </w:r>
    </w:p>
    <w:p>
      <w:pPr>
        <w:spacing w:after="200"/>
        <w:ind w:left="1440" w:right="1440"/>
        <w:jc w:val="center"/>
      </w:pPr>
      <w:r>
        <w:rPr>
          <w:rFonts w:ascii="Atkinson Hyperlegible" w:cs="Atkinson Hyperlegible" w:eastAsia="Atkinson Hyperlegible" w:hAnsi="Atkinson Hyperlegible"/>
          <w:color w:val="64748B"/>
          <w:sz w:val="28"/>
          <w:szCs w:val="28"/>
        </w:rPr>
        <w:t xml:space="preserve">Grafana - RA4</w:t>
      </w:r>
    </w:p>
    <w:p>
      <w:pPr>
        <w:pBdr>
          <w:bottom w:val="single" w:color="2563EB" w:sz="12" w:space="1"/>
        </w:pBdr>
        <w:spacing w:after="400" w:before="400"/>
        <w:ind w:left="3600" w:right="3600"/>
        <w:jc w:val="center"/>
      </w:pPr>
    </w:p>
    <w:p>
      <w:pPr>
        <w:spacing w:after="100"/>
        <w:ind w:left="1440" w:right="1440"/>
        <w:jc w:val="center"/>
      </w:pPr>
      <w:r>
        <w:rPr>
          <w:rFonts w:ascii="Atkinson Hyperlegible" w:cs="Atkinson Hyperlegible" w:eastAsia="Atkinson Hyperlegible" w:hAnsi="Atkinson Hyperlegible"/>
          <w:color w:val="64748B"/>
          <w:sz w:val="22"/>
          <w:szCs w:val="22"/>
        </w:rPr>
        <w:t xml:space="preserve">Asignatura: Big Data Aplicado</w:t>
      </w:r>
    </w:p>
    <w:p>
      <w:pPr>
        <w:spacing w:after="100"/>
        <w:ind w:left="1440" w:right="1440"/>
        <w:jc w:val="center"/>
      </w:pPr>
      <w:r>
        <w:rPr>
          <w:rFonts w:ascii="Atkinson Hyperlegible" w:cs="Atkinson Hyperlegible" w:eastAsia="Atkinson Hyperlegible" w:hAnsi="Atkinson Hyperlegible"/>
          <w:color w:val="64748B"/>
          <w:sz w:val="22"/>
          <w:szCs w:val="22"/>
        </w:rPr>
        <w:t xml:space="preserve">Unidad: UT4 - Monitorización y Observabilidad</w:t>
      </w:r>
    </w:p>
    <w:p>
      <w:pPr>
        <w:spacing w:after="100"/>
        <w:ind w:left="1440" w:right="1440"/>
        <w:jc w:val="center"/>
      </w:pPr>
      <w:r>
        <w:rPr>
          <w:rFonts w:ascii="Atkinson Hyperlegible" w:cs="Atkinson Hyperlegible" w:eastAsia="Atkinson Hyperlegible" w:hAnsi="Atkinson Hyperlegible"/>
          <w:color w:val="64748B"/>
          <w:sz w:val="22"/>
          <w:szCs w:val="22"/>
        </w:rPr>
        <w:t xml:space="preserve">Fecha: 17 de marzo de 2026</w:t>
      </w:r>
    </w:p>
    <w:p>
      <w:pPr>
        <w:spacing w:before="3200"/>
      </w:pP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800" w:hRule="exact"/>
        </w:trPr>
        <w:tc>
          <w:tcPr>
            <w:tcW w:type="dxa" w:w="11906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vAlign w:val="center"/>
          </w:tcPr>
          <w:p>
            <w:pPr>
              <w:jc w:val="center"/>
            </w:pPr>
            <w:r>
              <w:rPr>
                <w:rFonts w:ascii="Atkinson Hyperlegible" w:cs="Atkinson Hyperlegible" w:eastAsia="Atkinson Hyperlegible" w:hAnsi="Atkinson Hyperlegible"/>
                <w:color w:val="94A3B8"/>
                <w:sz w:val="18"/>
                <w:szCs w:val="18"/>
              </w:rPr>
              <w:t xml:space="preserve">Herramientas: Docker · Prometheus · Grafana · Hadoop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Ejercicio 1</w:t>
      </w:r>
    </w:p>
    <w:p>
      <w:pPr>
        <w:spacing w:after="200"/>
      </w:pPr>
      <w:r>
        <w:rPr>
          <w:rFonts w:ascii="Atkinson Hyperlegible" w:cs="Atkinson Hyperlegible" w:eastAsia="Atkinson Hyperlegible" w:hAnsi="Atkinson Hyperlegible"/>
        </w:rPr>
        <w:t xml:space="preserve">Lo primero que he hecho ha sido levantar el entorno v6 con </w:t>
      </w:r>
      <w:r>
        <w:rPr>
          <w:rFonts w:ascii="Atkinson Hyperlegible" w:cs="Atkinson Hyperlegible" w:eastAsia="Atkinson Hyperlegible" w:hAnsi="Atkinson Hyperlegible"/>
          <w:b/>
          <w:bCs/>
          <w:color w:val="2563EB"/>
        </w:rPr>
        <w:t xml:space="preserve">docker compose up -d</w:t>
      </w:r>
      <w:r>
        <w:rPr>
          <w:rFonts w:ascii="Atkinson Hyperlegible" w:cs="Atkinson Hyperlegible" w:eastAsia="Atkinson Hyperlegible" w:hAnsi="Atkinson Hyperlegible"/>
        </w:rPr>
        <w:t xml:space="preserve"> y esperar a que arrancaran todos los contenedores. En la siguiente captura se ve que están todos en verde:</w:t>
      </w:r>
    </w:p>
    <w:p>
      <w:pPr>
        <w:pStyle w:val="Heading2"/>
      </w:pPr>
      <w:r>
        <w:t xml:space="preserve">Contenedores levantados</w:t>
      </w:r>
    </w:p>
    <w:p>
      <w:pPr>
        <w:spacing w:after="200"/>
      </w:pPr>
      <w:r>
        <w:rPr>
          <w:rFonts w:ascii="Atkinson Hyperlegible" w:cs="Atkinson Hyperlegible" w:eastAsia="Atkinson Hyperlegible" w:hAnsi="Atkinson Hyperlegible"/>
          <w:i/>
          <w:iCs/>
          <w:color w:val="64748B"/>
        </w:rPr>
        <w:t xml:space="preserve">Aquí se ven todos los contenedores del entorno funcionando en Docker Desktop: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905500" cy="3324225"/>
                  <wp:effectExtent t="0" r="0" b="0" l="0"/>
                  <wp:docPr id="1" name="docker" descr="Docker Desktop con contenedores levantados" title="Contened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80"/>
        <w:jc w:val="center"/>
      </w:pPr>
      <w:r>
        <w:rPr>
          <w:rFonts w:ascii="Atkinson Hyperlegible" w:cs="Atkinson Hyperlegible" w:eastAsia="Atkinson Hyperlegible" w:hAnsi="Atkinson Hyperlegible"/>
          <w:i/>
          <w:iCs/>
          <w:color w:val="64748B"/>
          <w:sz w:val="18"/>
          <w:szCs w:val="18"/>
        </w:rPr>
        <w:t xml:space="preserve">Figura 1: Vista de Docker Desktop con todos los servicios activos</w:t>
      </w:r>
    </w:p>
    <w:p>
      <w:r>
        <w:br w:type="page"/>
      </w:r>
    </w:p>
    <w:p>
      <w:pPr>
        <w:pStyle w:val="Heading2"/>
      </w:pPr>
      <w:r>
        <w:t xml:space="preserve">Desactivación del datanode2</w:t>
      </w:r>
    </w:p>
    <w:p>
      <w:pPr>
        <w:spacing w:after="120"/>
      </w:pPr>
      <w:r>
        <w:rPr>
          <w:rFonts w:ascii="Atkinson Hyperlegible" w:cs="Atkinson Hyperlegible" w:eastAsia="Atkinson Hyperlegible" w:hAnsi="Atkinson Hyperlegible"/>
        </w:rPr>
        <w:t xml:space="preserve">Después he abierto Grafana y lo he dejado unos minutos para que se vieran bien las gráficas. Luego he apagado el datanode2 con: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2"/>
              <w:left w:val="single" w:color="2563EB" w:sz="6"/>
              <w:bottom w:val="single" w:color="CBD5E1" w:sz="2"/>
              <w:right w:val="single" w:color="CBD5E1" w:sz="2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tkinson Hyperlegible Mono" w:cs="Atkinson Hyperlegible Mono" w:eastAsia="Atkinson Hyperlegible Mono" w:hAnsi="Atkinson Hyperlegible Mono"/>
                <w:color w:val="1E293B"/>
                <w:sz w:val="20"/>
                <w:szCs w:val="20"/>
              </w:rPr>
              <w:t xml:space="preserve">$ docker stop datanode2</w:t>
            </w:r>
          </w:p>
        </w:tc>
      </w:tr>
    </w:tbl>
    <w:p>
      <w:pPr>
        <w:spacing w:after="200" w:before="200"/>
      </w:pPr>
      <w:r>
        <w:rPr>
          <w:rFonts w:ascii="Atkinson Hyperlegible" w:cs="Atkinson Hyperlegible" w:eastAsia="Atkinson Hyperlegible" w:hAnsi="Atkinson Hyperlegible"/>
        </w:rPr>
        <w:t xml:space="preserve">Al cabo de un minuto más o menos, en Grafana se ve cómo la línea del datanode2 deja de aparecer, porque ya no envía datos: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905500" cy="3209925"/>
                  <wp:effectExtent t="0" r="0" b="0" l="0"/>
                  <wp:docPr id="1" name="caida" descr="Grafana mostrando caida del datanode2" title="Cai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 w:before="80"/>
        <w:jc w:val="center"/>
      </w:pPr>
      <w:r>
        <w:rPr>
          <w:rFonts w:ascii="Atkinson Hyperlegible" w:cs="Atkinson Hyperlegible" w:eastAsia="Atkinson Hyperlegible" w:hAnsi="Atkinson Hyperlegible"/>
          <w:i/>
          <w:iCs/>
          <w:color w:val="64748B"/>
          <w:sz w:val="18"/>
          <w:szCs w:val="18"/>
        </w:rPr>
        <w:t xml:space="preserve">Figura 2: Dashboard Grafana - caída del datanode2 (línea roja se interrumpe)</w:t>
      </w:r>
    </w:p>
    <w:p>
      <w:pPr>
        <w:pStyle w:val="Heading2"/>
      </w:pPr>
      <w:r>
        <w:t xml:space="preserve">Reactivación del datanode2</w:t>
      </w:r>
    </w:p>
    <w:p>
      <w:pPr>
        <w:spacing w:after="120"/>
      </w:pPr>
      <w:r>
        <w:rPr>
          <w:rFonts w:ascii="Atkinson Hyperlegible" w:cs="Atkinson Hyperlegible" w:eastAsia="Atkinson Hyperlegible" w:hAnsi="Atkinson Hyperlegible"/>
        </w:rPr>
        <w:t xml:space="preserve">Para volver a levantarlo he ejecutado: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2"/>
              <w:left w:val="single" w:color="16A34A" w:sz="6"/>
              <w:bottom w:val="single" w:color="CBD5E1" w:sz="2"/>
              <w:right w:val="single" w:color="CBD5E1" w:sz="2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tkinson Hyperlegible Mono" w:cs="Atkinson Hyperlegible Mono" w:eastAsia="Atkinson Hyperlegible Mono" w:hAnsi="Atkinson Hyperlegible Mono"/>
                <w:color w:val="1E293B"/>
                <w:sz w:val="20"/>
                <w:szCs w:val="20"/>
              </w:rPr>
              <w:t xml:space="preserve">$ docker start datanode2</w:t>
            </w:r>
          </w:p>
        </w:tc>
      </w:tr>
    </w:tbl>
    <w:p>
      <w:pPr>
        <w:spacing w:after="200" w:before="200"/>
      </w:pPr>
      <w:r>
        <w:rPr>
          <w:rFonts w:ascii="Atkinson Hyperlegible" w:cs="Atkinson Hyperlegible" w:eastAsia="Atkinson Hyperlegible" w:hAnsi="Atkinson Hyperlegible"/>
        </w:rPr>
        <w:t xml:space="preserve">He esperado otro minuto y en Grafana se ve cómo vuelve a aparecer la línea del datanode2, con un pico de CPU del arranque: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905500" cy="3209925"/>
                  <wp:effectExtent t="0" r="0" b="0" l="0"/>
                  <wp:docPr id="1" name="recuperacion" descr="Grafana mostrando recuperacion del datanode2" title="Recuperac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80"/>
        <w:jc w:val="center"/>
      </w:pPr>
      <w:r>
        <w:rPr>
          <w:rFonts w:ascii="Atkinson Hyperlegible" w:cs="Atkinson Hyperlegible" w:eastAsia="Atkinson Hyperlegible" w:hAnsi="Atkinson Hyperlegible"/>
          <w:i/>
          <w:iCs/>
          <w:color w:val="64748B"/>
          <w:sz w:val="18"/>
          <w:szCs w:val="18"/>
        </w:rPr>
        <w:t xml:space="preserve">Figura 3: Dashboard Grafana - recuperación del datanode2 (pico de CPU al arrancar)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6"/>
      </w:pBdr>
      <w:tabs>
        <w:tab w:val="right" w:pos="9026"/>
      </w:tabs>
    </w:pPr>
    <w:r>
      <w:rPr>
        <w:rFonts w:ascii="Atkinson Hyperlegible" w:cs="Atkinson Hyperlegible" w:eastAsia="Atkinson Hyperlegible" w:hAnsi="Atkinson Hyperlegible"/>
        <w:color w:val="64748B"/>
        <w:sz w:val="16"/>
        <w:szCs w:val="16"/>
      </w:rPr>
      <w:t xml:space="preserve">Big Data Aplicado 25-26</w:t>
    </w:r>
    <w:r>
      <w:t xml:space="preserve">	</w:t>
    </w:r>
    <w:r>
      <w:rPr>
        <w:rFonts w:ascii="Atkinson Hyperlegible" w:cs="Atkinson Hyperlegible" w:eastAsia="Atkinson Hyperlegible" w:hAnsi="Atkinson Hyperlegible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6"/>
      </w:pBdr>
      <w:tabs>
        <w:tab w:val="right" w:pos="9026"/>
      </w:tabs>
      <w:spacing w:after="120"/>
    </w:pPr>
    <w:r>
      <w:rPr>
        <w:rFonts w:ascii="Atkinson Hyperlegible" w:cs="Atkinson Hyperlegible" w:eastAsia="Atkinson Hyperlegible" w:hAnsi="Atkinson Hyperlegible"/>
        <w:color w:val="64748B"/>
        <w:sz w:val="16"/>
        <w:szCs w:val="16"/>
      </w:rPr>
      <w:t xml:space="preserve">RETO 02 - Un Regalo - Grafana - RA4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tkinson Hyperlegible" w:cs="Atkinson Hyperlegible" w:eastAsia="Atkinson Hyperlegible" w:hAnsi="Atkinson Hyperlegibl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8"/>
      </w:pBdr>
      <w:spacing w:after="200" w:before="360"/>
      <w:outlineLvl w:val="0"/>
    </w:pPr>
    <w:rPr>
      <w:rFonts w:ascii="Atkinson Hyperlegible" w:cs="Atkinson Hyperlegible" w:eastAsia="Atkinson Hyperlegible" w:hAnsi="Atkinson Hyperlegible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tkinson Hyperlegible" w:cs="Atkinson Hyperlegible" w:eastAsia="Atkinson Hyperlegible" w:hAnsi="Atkinson Hyperlegible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86ca669c328db53e1d217cca584f5fd64837894.png"/><Relationship Id="rId10" Type="http://schemas.openxmlformats.org/officeDocument/2006/relationships/image" Target="media/a64b9fb8cde746e3dab72c6207bf5b81572e3536.png"/><Relationship Id="rId11" Type="http://schemas.openxmlformats.org/officeDocument/2006/relationships/image" Target="media/688319711dce45ae192bcd06ffc9ca8f9bd507f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2026-03-17T11:06:32.166Z</dcterms:created>
  <dcterms:modified xsi:type="dcterms:W3CDTF">2026-03-17T11:06:32.172Z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