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E8CB2" w14:textId="04EE9490" w:rsidR="002A1A43" w:rsidRDefault="002A1A43" w:rsidP="002A1A43">
      <w:pPr>
        <w:pStyle w:val="Ttulo1"/>
      </w:pPr>
      <w:r>
        <w:t>0. CREACION DE RECURSOS</w:t>
      </w:r>
    </w:p>
    <w:p w14:paraId="68A943FA" w14:textId="49A33002" w:rsidR="00843610" w:rsidRDefault="002A1A43">
      <w:r>
        <w:rPr>
          <w:noProof/>
        </w:rPr>
        <w:drawing>
          <wp:inline distT="0" distB="0" distL="0" distR="0" wp14:anchorId="1475A076" wp14:editId="3C89039B">
            <wp:extent cx="5400040" cy="1028065"/>
            <wp:effectExtent l="0" t="0" r="0" b="635"/>
            <wp:docPr id="113242472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24724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0DA3" w14:textId="4F9A9BD5" w:rsidR="002A1A43" w:rsidRDefault="002A1A43">
      <w:r>
        <w:rPr>
          <w:noProof/>
        </w:rPr>
        <w:drawing>
          <wp:inline distT="0" distB="0" distL="0" distR="0" wp14:anchorId="7959090D" wp14:editId="66422B99">
            <wp:extent cx="5400040" cy="2058035"/>
            <wp:effectExtent l="0" t="0" r="0" b="0"/>
            <wp:docPr id="1692547891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47891" name="Imagen 1" descr="Una captura de pantalla de una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3A1A" w14:textId="77777777" w:rsidR="002A1A43" w:rsidRDefault="002A1A43"/>
    <w:p w14:paraId="338B2DC8" w14:textId="527917AB" w:rsidR="00843610" w:rsidRDefault="00843610" w:rsidP="002A1A43">
      <w:pPr>
        <w:pStyle w:val="Ttulo1"/>
        <w:numPr>
          <w:ilvl w:val="0"/>
          <w:numId w:val="5"/>
        </w:numPr>
        <w:ind w:left="426"/>
      </w:pPr>
      <w:r>
        <w:lastRenderedPageBreak/>
        <w:t>DATOS BASICOS</w:t>
      </w:r>
    </w:p>
    <w:p w14:paraId="37B37DE4" w14:textId="22566D3B" w:rsidR="00DE39E7" w:rsidRDefault="006C6130">
      <w:r>
        <w:rPr>
          <w:noProof/>
        </w:rPr>
        <w:drawing>
          <wp:inline distT="0" distB="0" distL="0" distR="0" wp14:anchorId="0453CB7A" wp14:editId="5DE59081">
            <wp:extent cx="5400040" cy="4493895"/>
            <wp:effectExtent l="0" t="0" r="0" b="1905"/>
            <wp:docPr id="17291397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397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D0F86" w14:textId="77777777" w:rsidR="006C6130" w:rsidRDefault="006C6130"/>
    <w:p w14:paraId="4CD9CCB1" w14:textId="23059D9B" w:rsidR="00843610" w:rsidRDefault="00843610" w:rsidP="00843610">
      <w:pPr>
        <w:pStyle w:val="Ttulo1"/>
      </w:pPr>
      <w:r>
        <w:t>2. RED</w:t>
      </w:r>
    </w:p>
    <w:p w14:paraId="2CC29B74" w14:textId="534E5500" w:rsidR="006C6130" w:rsidRDefault="006C6130">
      <w:r>
        <w:rPr>
          <w:noProof/>
        </w:rPr>
        <w:drawing>
          <wp:inline distT="0" distB="0" distL="0" distR="0" wp14:anchorId="7F1FBB36" wp14:editId="34C2DF96">
            <wp:extent cx="5400040" cy="2203450"/>
            <wp:effectExtent l="0" t="0" r="0" b="6350"/>
            <wp:docPr id="164037144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7144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6975" w14:textId="5AD00097" w:rsidR="006C6130" w:rsidRPr="006C6130" w:rsidRDefault="006C6130" w:rsidP="006C6130">
      <w:r>
        <w:t xml:space="preserve">- </w:t>
      </w:r>
      <w:r w:rsidRPr="006C6130">
        <w:rPr>
          <w:b/>
          <w:bCs/>
        </w:rPr>
        <w:t>“Todas las redes, incluso Internet, pueden acceder a este recurso.”</w:t>
      </w:r>
    </w:p>
    <w:p w14:paraId="084C7F68" w14:textId="77777777" w:rsidR="006C6130" w:rsidRPr="006C6130" w:rsidRDefault="006C6130" w:rsidP="006C6130">
      <w:pPr>
        <w:numPr>
          <w:ilvl w:val="0"/>
          <w:numId w:val="1"/>
        </w:numPr>
      </w:pPr>
      <w:r w:rsidRPr="006C6130">
        <w:t xml:space="preserve">El servicio queda </w:t>
      </w:r>
      <w:r w:rsidRPr="006C6130">
        <w:rPr>
          <w:b/>
          <w:bCs/>
        </w:rPr>
        <w:t>público</w:t>
      </w:r>
      <w:r w:rsidRPr="006C6130">
        <w:t>.</w:t>
      </w:r>
    </w:p>
    <w:p w14:paraId="79C068BB" w14:textId="77777777" w:rsidR="006C6130" w:rsidRPr="006C6130" w:rsidRDefault="006C6130" w:rsidP="006C6130">
      <w:pPr>
        <w:numPr>
          <w:ilvl w:val="0"/>
          <w:numId w:val="1"/>
        </w:numPr>
      </w:pPr>
      <w:r w:rsidRPr="006C6130">
        <w:lastRenderedPageBreak/>
        <w:t>Cualquiera con la URL y las credenciales (clave de API, token, etc.) podrá conectarse desde cualquier ubicación (incluso fuera de tu VNet).</w:t>
      </w:r>
    </w:p>
    <w:p w14:paraId="657ED7BA" w14:textId="77777777" w:rsidR="006C6130" w:rsidRPr="006C6130" w:rsidRDefault="006C6130" w:rsidP="006C6130">
      <w:pPr>
        <w:numPr>
          <w:ilvl w:val="0"/>
          <w:numId w:val="1"/>
        </w:numPr>
      </w:pPr>
      <w:r w:rsidRPr="006C6130">
        <w:rPr>
          <w:i/>
          <w:iCs/>
        </w:rPr>
        <w:t>Cuando elegirlo:</w:t>
      </w:r>
      <w:r w:rsidRPr="006C6130">
        <w:t xml:space="preserve"> en entornos de desarrollo o pruebas rápidas donde no te importe exponerlo a Internet.</w:t>
      </w:r>
    </w:p>
    <w:p w14:paraId="4E26D5E8" w14:textId="40C22EA4" w:rsidR="006C6130" w:rsidRPr="006C6130" w:rsidRDefault="006C6130" w:rsidP="006C6130">
      <w:r>
        <w:t xml:space="preserve">- </w:t>
      </w:r>
      <w:r w:rsidRPr="006C6130">
        <w:rPr>
          <w:b/>
          <w:bCs/>
        </w:rPr>
        <w:t>“Selected networks, configure network security for your Azure AI services resource.”</w:t>
      </w:r>
    </w:p>
    <w:p w14:paraId="42E90F3B" w14:textId="77777777" w:rsidR="006C6130" w:rsidRPr="006C6130" w:rsidRDefault="006C6130" w:rsidP="006C6130">
      <w:pPr>
        <w:numPr>
          <w:ilvl w:val="0"/>
          <w:numId w:val="2"/>
        </w:numPr>
      </w:pPr>
      <w:r w:rsidRPr="006C6130">
        <w:t xml:space="preserve">Acceso </w:t>
      </w:r>
      <w:r w:rsidRPr="006C6130">
        <w:rPr>
          <w:b/>
          <w:bCs/>
        </w:rPr>
        <w:t>restringido</w:t>
      </w:r>
      <w:r w:rsidRPr="006C6130">
        <w:t xml:space="preserve"> a un conjunto de redes que tú especifiques:</w:t>
      </w:r>
    </w:p>
    <w:p w14:paraId="01FA1E22" w14:textId="77777777" w:rsidR="006C6130" w:rsidRPr="006C6130" w:rsidRDefault="006C6130" w:rsidP="006C6130">
      <w:pPr>
        <w:numPr>
          <w:ilvl w:val="1"/>
          <w:numId w:val="2"/>
        </w:numPr>
      </w:pPr>
      <w:r w:rsidRPr="006C6130">
        <w:t>Virtual Networks (VNets) de Azure y subredes concretas.</w:t>
      </w:r>
    </w:p>
    <w:p w14:paraId="7362ADB4" w14:textId="77777777" w:rsidR="006C6130" w:rsidRPr="006C6130" w:rsidRDefault="006C6130" w:rsidP="006C6130">
      <w:pPr>
        <w:numPr>
          <w:ilvl w:val="1"/>
          <w:numId w:val="2"/>
        </w:numPr>
      </w:pPr>
      <w:r w:rsidRPr="006C6130">
        <w:t>Direcciones IP públicas o rangos de IP de tu organización.</w:t>
      </w:r>
    </w:p>
    <w:p w14:paraId="2BAECACE" w14:textId="77777777" w:rsidR="006C6130" w:rsidRPr="006C6130" w:rsidRDefault="006C6130" w:rsidP="006C6130">
      <w:pPr>
        <w:numPr>
          <w:ilvl w:val="0"/>
          <w:numId w:val="2"/>
        </w:numPr>
      </w:pPr>
      <w:r w:rsidRPr="006C6130">
        <w:t xml:space="preserve">Implica que desde Internet o redes no listadas </w:t>
      </w:r>
      <w:r w:rsidRPr="006C6130">
        <w:rPr>
          <w:b/>
          <w:bCs/>
        </w:rPr>
        <w:t>no</w:t>
      </w:r>
      <w:r w:rsidRPr="006C6130">
        <w:t xml:space="preserve"> se podrá conectar.</w:t>
      </w:r>
    </w:p>
    <w:p w14:paraId="6BA70757" w14:textId="77777777" w:rsidR="006C6130" w:rsidRPr="006C6130" w:rsidRDefault="006C6130" w:rsidP="006C6130">
      <w:pPr>
        <w:numPr>
          <w:ilvl w:val="0"/>
          <w:numId w:val="2"/>
        </w:numPr>
      </w:pPr>
      <w:r w:rsidRPr="006C6130">
        <w:rPr>
          <w:i/>
          <w:iCs/>
        </w:rPr>
        <w:t>Cuando elegirlo:</w:t>
      </w:r>
      <w:r w:rsidRPr="006C6130">
        <w:t xml:space="preserve"> producción, cumplimiento normativo o requisitos de seguridad corporativa. Garantiza que solo tus cargas de trabajo internas (o ciertas IPs) consuman el servicio.</w:t>
      </w:r>
    </w:p>
    <w:p w14:paraId="3E0929B7" w14:textId="77777777" w:rsidR="006C6130" w:rsidRDefault="006C6130"/>
    <w:p w14:paraId="61AF2DB0" w14:textId="1F6253CA" w:rsidR="006C6130" w:rsidRDefault="00843610" w:rsidP="00843610">
      <w:pPr>
        <w:pStyle w:val="Ttulo1"/>
      </w:pPr>
      <w:r>
        <w:t>3. IDENTITY</w:t>
      </w:r>
    </w:p>
    <w:p w14:paraId="671651C5" w14:textId="778FBFC7" w:rsidR="006C6130" w:rsidRDefault="006C6130">
      <w:r>
        <w:rPr>
          <w:noProof/>
        </w:rPr>
        <w:drawing>
          <wp:inline distT="0" distB="0" distL="0" distR="0" wp14:anchorId="60BD2B4E" wp14:editId="3E1F9F8C">
            <wp:extent cx="5400040" cy="3696970"/>
            <wp:effectExtent l="0" t="0" r="0" b="0"/>
            <wp:docPr id="2605452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452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F27E" w14:textId="77777777" w:rsidR="00A12E6A" w:rsidRDefault="00A12E6A"/>
    <w:p w14:paraId="34FF9F45" w14:textId="77777777" w:rsidR="00A12E6A" w:rsidRPr="00A12E6A" w:rsidRDefault="00A12E6A" w:rsidP="00A12E6A">
      <w:r w:rsidRPr="00A12E6A">
        <w:rPr>
          <w:b/>
          <w:bCs/>
        </w:rPr>
        <w:t>Estado “Desactivado/Activado”</w:t>
      </w:r>
    </w:p>
    <w:p w14:paraId="4D8DE7EB" w14:textId="77777777" w:rsidR="00A12E6A" w:rsidRPr="00A12E6A" w:rsidRDefault="00A12E6A" w:rsidP="00A12E6A">
      <w:pPr>
        <w:numPr>
          <w:ilvl w:val="0"/>
          <w:numId w:val="3"/>
        </w:numPr>
      </w:pPr>
      <w:r w:rsidRPr="00A12E6A">
        <w:rPr>
          <w:b/>
          <w:bCs/>
        </w:rPr>
        <w:lastRenderedPageBreak/>
        <w:t>Desactivado</w:t>
      </w:r>
      <w:r w:rsidRPr="00A12E6A">
        <w:t xml:space="preserve"> (por defecto): no existe identidad, el servicio no podrá autenticarse por sí mismo.</w:t>
      </w:r>
    </w:p>
    <w:p w14:paraId="5806F1A5" w14:textId="77777777" w:rsidR="00A12E6A" w:rsidRDefault="00A12E6A" w:rsidP="00A12E6A">
      <w:pPr>
        <w:numPr>
          <w:ilvl w:val="0"/>
          <w:numId w:val="3"/>
        </w:numPr>
      </w:pPr>
      <w:r w:rsidRPr="00A12E6A">
        <w:rPr>
          <w:b/>
          <w:bCs/>
        </w:rPr>
        <w:t>Activado</w:t>
      </w:r>
      <w:r w:rsidRPr="00A12E6A">
        <w:t>: Azure crea un objeto en Azure AD y habilita un endpoint local (en tu recurso) desde el que tu aplicación puede pedir tokens.</w:t>
      </w:r>
    </w:p>
    <w:p w14:paraId="0729D5FB" w14:textId="77777777" w:rsidR="00843610" w:rsidRDefault="00843610" w:rsidP="00843610"/>
    <w:p w14:paraId="62076AD3" w14:textId="05E2BC92" w:rsidR="00843610" w:rsidRPr="00A12E6A" w:rsidRDefault="00843610" w:rsidP="00843610">
      <w:pPr>
        <w:pStyle w:val="Ttulo1"/>
      </w:pPr>
      <w:r>
        <w:t>4. TAGS</w:t>
      </w:r>
    </w:p>
    <w:p w14:paraId="4F34167A" w14:textId="4AFA369E" w:rsidR="00843610" w:rsidRDefault="00843610" w:rsidP="00843610">
      <w:pPr>
        <w:rPr>
          <w:b/>
          <w:bCs/>
        </w:rPr>
      </w:pPr>
      <w:r>
        <w:rPr>
          <w:noProof/>
        </w:rPr>
        <w:drawing>
          <wp:inline distT="0" distB="0" distL="0" distR="0" wp14:anchorId="7C0E320C" wp14:editId="39F2806B">
            <wp:extent cx="5400040" cy="2145665"/>
            <wp:effectExtent l="0" t="0" r="0" b="6985"/>
            <wp:docPr id="69050553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0553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8F93" w14:textId="1874AD96" w:rsidR="00843610" w:rsidRPr="00843610" w:rsidRDefault="00843610" w:rsidP="00843610">
      <w:pPr>
        <w:rPr>
          <w:b/>
          <w:bCs/>
        </w:rPr>
      </w:pPr>
      <w:r w:rsidRPr="00843610">
        <w:rPr>
          <w:b/>
          <w:bCs/>
        </w:rPr>
        <w:t>¿Para qué sirven?</w:t>
      </w:r>
    </w:p>
    <w:p w14:paraId="576FC10F" w14:textId="77777777" w:rsidR="00843610" w:rsidRPr="00843610" w:rsidRDefault="00843610" w:rsidP="00843610">
      <w:pPr>
        <w:numPr>
          <w:ilvl w:val="0"/>
          <w:numId w:val="4"/>
        </w:numPr>
      </w:pPr>
      <w:r w:rsidRPr="00843610">
        <w:rPr>
          <w:b/>
          <w:bCs/>
        </w:rPr>
        <w:t>Facturación consolidada</w:t>
      </w:r>
    </w:p>
    <w:p w14:paraId="754E414D" w14:textId="77777777" w:rsidR="00843610" w:rsidRPr="00843610" w:rsidRDefault="00843610" w:rsidP="00843610">
      <w:pPr>
        <w:numPr>
          <w:ilvl w:val="1"/>
          <w:numId w:val="4"/>
        </w:numPr>
      </w:pPr>
      <w:r w:rsidRPr="00843610">
        <w:t>Te permite ver en la factura “todo lo que consumió el proyecto X” o “lo de FormRecognizer” aunque estén en distintos grupos de recursos o suscripciones.</w:t>
      </w:r>
    </w:p>
    <w:p w14:paraId="562C138B" w14:textId="77777777" w:rsidR="00843610" w:rsidRPr="00843610" w:rsidRDefault="00843610" w:rsidP="00843610">
      <w:pPr>
        <w:numPr>
          <w:ilvl w:val="0"/>
          <w:numId w:val="4"/>
        </w:numPr>
      </w:pPr>
      <w:r w:rsidRPr="00843610">
        <w:rPr>
          <w:b/>
          <w:bCs/>
        </w:rPr>
        <w:t>Filtrado y búsqueda</w:t>
      </w:r>
    </w:p>
    <w:p w14:paraId="73F69CFA" w14:textId="77777777" w:rsidR="00843610" w:rsidRPr="00843610" w:rsidRDefault="00843610" w:rsidP="00843610">
      <w:pPr>
        <w:numPr>
          <w:ilvl w:val="1"/>
          <w:numId w:val="4"/>
        </w:numPr>
      </w:pPr>
      <w:r w:rsidRPr="00843610">
        <w:t>En el portal (o por CLI/PowerShell) filtras por etiqueta para encontrar rápidamente todos los recursos ligados a “Curso2425”.</w:t>
      </w:r>
    </w:p>
    <w:p w14:paraId="66E55939" w14:textId="77777777" w:rsidR="00A12E6A" w:rsidRDefault="00A12E6A"/>
    <w:p w14:paraId="46C24A29" w14:textId="77777777" w:rsidR="00843610" w:rsidRDefault="00843610"/>
    <w:p w14:paraId="553B860F" w14:textId="78A482F1" w:rsidR="00843610" w:rsidRDefault="00843610" w:rsidP="00843610">
      <w:pPr>
        <w:pStyle w:val="Ttulo1"/>
      </w:pPr>
      <w:r>
        <w:lastRenderedPageBreak/>
        <w:t>5. REVISAR Y CREAR</w:t>
      </w:r>
    </w:p>
    <w:p w14:paraId="75EED51D" w14:textId="11E69053" w:rsidR="00843610" w:rsidRDefault="00843610">
      <w:r>
        <w:rPr>
          <w:noProof/>
        </w:rPr>
        <w:drawing>
          <wp:inline distT="0" distB="0" distL="0" distR="0" wp14:anchorId="6D549232" wp14:editId="63A3EA0A">
            <wp:extent cx="5400040" cy="5598795"/>
            <wp:effectExtent l="0" t="0" r="0" b="1905"/>
            <wp:docPr id="185900335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0335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9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4217" w14:textId="77777777" w:rsidR="00192097" w:rsidRDefault="00192097"/>
    <w:p w14:paraId="3D21E850" w14:textId="77777777" w:rsidR="00192097" w:rsidRDefault="00192097"/>
    <w:p w14:paraId="30AE511C" w14:textId="77777777" w:rsidR="00192097" w:rsidRDefault="00192097"/>
    <w:p w14:paraId="5215D53C" w14:textId="77777777" w:rsidR="00192097" w:rsidRDefault="00192097"/>
    <w:p w14:paraId="2DB3E7C2" w14:textId="77777777" w:rsidR="00192097" w:rsidRDefault="00192097"/>
    <w:p w14:paraId="34D9D23C" w14:textId="77777777" w:rsidR="00192097" w:rsidRDefault="00192097"/>
    <w:p w14:paraId="2DFFB106" w14:textId="77777777" w:rsidR="00192097" w:rsidRDefault="00192097"/>
    <w:p w14:paraId="6BC78CD0" w14:textId="77777777" w:rsidR="00192097" w:rsidRDefault="00192097"/>
    <w:p w14:paraId="6E2DC11F" w14:textId="77777777" w:rsidR="00192097" w:rsidRDefault="00192097"/>
    <w:p w14:paraId="545E645B" w14:textId="0458DC64" w:rsidR="00192097" w:rsidRDefault="00192097" w:rsidP="00192097">
      <w:pPr>
        <w:pStyle w:val="Ttulo1"/>
      </w:pPr>
      <w:r>
        <w:lastRenderedPageBreak/>
        <w:t>6. INFORMACION DEL RECURSO</w:t>
      </w:r>
    </w:p>
    <w:p w14:paraId="4F76B001" w14:textId="77E8368C" w:rsidR="00192097" w:rsidRPr="00192097" w:rsidRDefault="00192097" w:rsidP="00192097">
      <w:r>
        <w:rPr>
          <w:noProof/>
        </w:rPr>
        <w:drawing>
          <wp:inline distT="0" distB="0" distL="0" distR="0" wp14:anchorId="22819E75" wp14:editId="32E55B4F">
            <wp:extent cx="5400040" cy="1085850"/>
            <wp:effectExtent l="0" t="0" r="0" b="0"/>
            <wp:docPr id="170020438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0438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74A27" w14:textId="2A6A7BA3" w:rsidR="00192097" w:rsidRDefault="00192097">
      <w:r>
        <w:rPr>
          <w:noProof/>
        </w:rPr>
        <w:drawing>
          <wp:inline distT="0" distB="0" distL="0" distR="0" wp14:anchorId="54177A82" wp14:editId="5DD00E1C">
            <wp:extent cx="5400040" cy="3194050"/>
            <wp:effectExtent l="0" t="0" r="0" b="6350"/>
            <wp:docPr id="168904454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4454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E12DF" w14:textId="77777777" w:rsidR="00C508F0" w:rsidRDefault="00C508F0"/>
    <w:p w14:paraId="65C83ECD" w14:textId="77777777" w:rsidR="009E61C2" w:rsidRDefault="009E61C2"/>
    <w:p w14:paraId="5D72592B" w14:textId="599C2C93" w:rsidR="009E61C2" w:rsidRDefault="009E61C2" w:rsidP="00874E37">
      <w:pPr>
        <w:pStyle w:val="Ttulo1"/>
      </w:pPr>
      <w:r>
        <w:t>INTEGRACIÓN CON .NET</w:t>
      </w:r>
    </w:p>
    <w:p w14:paraId="71DDE1C7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using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82B7737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using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Threading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Tasks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68976C8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using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Azure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29ED5E2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using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Azure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AI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FormRecognizer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DocumentAnalysis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2802946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9BC4B07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namespace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FormRecognizer</w:t>
      </w:r>
    </w:p>
    <w:p w14:paraId="77973B42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FC94C82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Program</w:t>
      </w:r>
    </w:p>
    <w:p w14:paraId="6889090A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C2CC189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Punto de conexión y clave del servicio de Azure</w:t>
      </w:r>
    </w:p>
    <w:p w14:paraId="0C099D1C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Endpoint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"https://formrecognizer2425.cognitiveservices.azure.com/"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7DCE3DB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ApiKey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"BfAOznJpv8HtMNHlsArho3GIoXCtiIoOh3ND23DHgONsa9sLcVxCJQQJ99BEACYeBjFXJ3w3AAALACOGXJ0F"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01E3A9A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2BAEAF4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URI del documento que se analizará</w:t>
      </w:r>
    </w:p>
    <w:p w14:paraId="17D477A6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readonly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Uri</w:t>
      </w:r>
      <w:r>
        <w:rPr>
          <w:rFonts w:ascii="Consolas" w:hAnsi="Consolas" w:cs="Courier New"/>
          <w:color w:val="000000"/>
          <w:sz w:val="17"/>
          <w:szCs w:val="17"/>
        </w:rPr>
        <w:t xml:space="preserve"> fileUri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Uri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4CFEC916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8800"/>
          <w:sz w:val="17"/>
          <w:szCs w:val="17"/>
        </w:rPr>
        <w:t>"https://raw.githubusercontent.com/Azure-Samples/cognitive-services-REST-api-samples/master/curl/form-recognizer/sample-layout.pdf"</w:t>
      </w:r>
    </w:p>
    <w:p w14:paraId="65752A28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ADF2037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CE3B619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async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Task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args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6CDA7F0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AB06746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client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DocumentAnalysisClient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7C76AE09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Uri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Endpoint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6FFF85A7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AzureKeyCredential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ApiKey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8B75792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CA75846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AF26645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Inicia y espera la operación de análisis</w:t>
      </w:r>
    </w:p>
    <w:p w14:paraId="704A542F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0066"/>
          <w:sz w:val="17"/>
          <w:szCs w:val="17"/>
        </w:rPr>
        <w:t>AnalyzeDocumentOperation</w:t>
      </w:r>
      <w:r>
        <w:rPr>
          <w:rFonts w:ascii="Consolas" w:hAnsi="Consolas" w:cs="Courier New"/>
          <w:color w:val="000000"/>
          <w:sz w:val="17"/>
          <w:szCs w:val="17"/>
        </w:rPr>
        <w:t xml:space="preserve"> operation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client</w:t>
      </w:r>
    </w:p>
    <w:p w14:paraId="6E8C774C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AnalyzeDocumentFromUriAsync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1DC991ED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660066"/>
          <w:sz w:val="17"/>
          <w:szCs w:val="17"/>
        </w:rPr>
        <w:t>WaitUntil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Completed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8EFF98D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8800"/>
          <w:sz w:val="17"/>
          <w:szCs w:val="17"/>
        </w:rPr>
        <w:t>"prebuilt-document"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94588DE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fileUri</w:t>
      </w:r>
    </w:p>
    <w:p w14:paraId="4BA05CAD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210433E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4F09F08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Obtenemos el resultado una vez completado</w:t>
      </w:r>
    </w:p>
    <w:p w14:paraId="3E11B2E6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0066"/>
          <w:sz w:val="17"/>
          <w:szCs w:val="17"/>
        </w:rPr>
        <w:t>AnalyzeResult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operation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808F5D9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ACC6CF0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0066"/>
          <w:sz w:val="17"/>
          <w:szCs w:val="17"/>
        </w:rPr>
        <w:t>ShowKeyValuePairsSummary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F7BE444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0066"/>
          <w:sz w:val="17"/>
          <w:szCs w:val="17"/>
        </w:rPr>
        <w:t>ShowEntitiesSummary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EF0DD92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0066"/>
          <w:sz w:val="17"/>
          <w:szCs w:val="17"/>
        </w:rPr>
        <w:t>ShowLayoutAndMarksSummary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970EDDA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0066"/>
          <w:sz w:val="17"/>
          <w:szCs w:val="17"/>
        </w:rPr>
        <w:t>ShowHandwrittenSectionsSummary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C61866F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0066"/>
          <w:sz w:val="17"/>
          <w:szCs w:val="17"/>
        </w:rPr>
        <w:t>ShowTablesSummary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46F19AF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538FB62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610A9E7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ShowKeyValuePairsSummary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AnalyzeResult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852F1D0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1138BD0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"Detected key-value pairs:"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5E75679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foreach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kvp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KeyValuePairs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6ED245F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298FDC5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kvp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Value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24C3D51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r>
        <w:rPr>
          <w:rFonts w:ascii="Consolas" w:hAnsi="Consolas" w:cs="Courier New"/>
          <w:color w:val="008800"/>
          <w:sz w:val="17"/>
          <w:szCs w:val="17"/>
        </w:rPr>
        <w:t>"  Key sin valor: '{kvp.Key.Content}'"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1D92298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</w:p>
    <w:p w14:paraId="1210F6B7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r>
        <w:rPr>
          <w:rFonts w:ascii="Consolas" w:hAnsi="Consolas" w:cs="Courier New"/>
          <w:color w:val="008800"/>
          <w:sz w:val="17"/>
          <w:szCs w:val="17"/>
        </w:rPr>
        <w:t>"  Pair: '{kvp.Key.Content}' =&gt; '{kvp.Value.Content}'"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FD587A0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DC0C0FF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56B8AF22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623838C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B7A3D52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ShowEntitiesSummary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AnalyzeResult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B8F33C1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FC13918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"Detected entities (fields) in each document:"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2B84096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foreach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AnalyzedDocument</w:t>
      </w:r>
      <w:r>
        <w:rPr>
          <w:rFonts w:ascii="Consolas" w:hAnsi="Consolas" w:cs="Courier New"/>
          <w:color w:val="000000"/>
          <w:sz w:val="17"/>
          <w:szCs w:val="17"/>
        </w:rPr>
        <w:t xml:space="preserve"> doc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Documents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1927F80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C323681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r>
        <w:rPr>
          <w:rFonts w:ascii="Consolas" w:hAnsi="Consolas" w:cs="Courier New"/>
          <w:color w:val="008800"/>
          <w:sz w:val="17"/>
          <w:szCs w:val="17"/>
        </w:rPr>
        <w:t>" Document Type: {doc.DocumentType} (confidence: {doc.Confidence:0.00})"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D61C702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B1C70E4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doc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Fields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Count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D23BA83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EB70BC8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   (no fields detected)"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F4BC97A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97D34A5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</w:p>
    <w:p w14:paraId="63598A5C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D1DE540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foreach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kvp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doc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Fields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EF0D5C9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84684DD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name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kvp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Key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4641470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660066"/>
          <w:sz w:val="17"/>
          <w:szCs w:val="17"/>
        </w:rPr>
        <w:t>DocumentField</w:t>
      </w:r>
      <w:r>
        <w:rPr>
          <w:rFonts w:ascii="Consolas" w:hAnsi="Consolas" w:cs="Courier New"/>
          <w:color w:val="000000"/>
          <w:sz w:val="17"/>
          <w:szCs w:val="17"/>
        </w:rPr>
        <w:t xml:space="preserve"> fld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kvp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E70D3CB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valueText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fld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?.</w:t>
      </w:r>
      <w:r>
        <w:rPr>
          <w:rFonts w:ascii="Consolas" w:hAnsi="Consolas" w:cs="Courier New"/>
          <w:color w:val="660066"/>
          <w:sz w:val="17"/>
          <w:szCs w:val="17"/>
        </w:rPr>
        <w:t>ToString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??</w:t>
      </w:r>
      <w:r>
        <w:rPr>
          <w:rFonts w:ascii="Consolas" w:hAnsi="Consolas" w:cs="Courier New"/>
          <w:color w:val="000000"/>
          <w:sz w:val="17"/>
          <w:szCs w:val="17"/>
        </w:rPr>
        <w:t xml:space="preserve"> fld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Content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979FB0C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37A0CF34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$</w:t>
      </w:r>
      <w:r>
        <w:rPr>
          <w:rFonts w:ascii="Consolas" w:hAnsi="Consolas" w:cs="Courier New"/>
          <w:color w:val="008800"/>
          <w:sz w:val="17"/>
          <w:szCs w:val="17"/>
        </w:rPr>
        <w:t>"   Field '{name}': '{valueText}'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</w:p>
    <w:p w14:paraId="2F39E18C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$</w:t>
      </w:r>
      <w:r>
        <w:rPr>
          <w:rFonts w:ascii="Consolas" w:hAnsi="Consolas" w:cs="Courier New"/>
          <w:color w:val="008800"/>
          <w:sz w:val="17"/>
          <w:szCs w:val="17"/>
        </w:rPr>
        <w:t>"(type: {fld.FieldType}, confid.: {fld.Confidence:0.00})"</w:t>
      </w:r>
    </w:p>
    <w:p w14:paraId="5A8E81AA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8112D60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60694D1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587E0B5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C43DDF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5B865DBD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CC711AC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BFDD08C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3365544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ShowLayoutAndMarksSummary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AnalyzeResult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671D356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7C58EF2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foreach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page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Pages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1098167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4B61BB2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795135E1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$</w:t>
      </w:r>
      <w:r>
        <w:rPr>
          <w:rFonts w:ascii="Consolas" w:hAnsi="Consolas" w:cs="Courier New"/>
          <w:color w:val="008800"/>
          <w:sz w:val="17"/>
          <w:szCs w:val="17"/>
        </w:rPr>
        <w:t>"Página {page.PageNumber}: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</w:p>
    <w:p w14:paraId="3B8CFE1C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$</w:t>
      </w:r>
      <w:r>
        <w:rPr>
          <w:rFonts w:ascii="Consolas" w:hAnsi="Consolas" w:cs="Courier New"/>
          <w:color w:val="008800"/>
          <w:sz w:val="17"/>
          <w:szCs w:val="17"/>
        </w:rPr>
        <w:t>"{page.Lines.Count} líneas, {page.Words.Count} palabras,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</w:p>
    <w:p w14:paraId="2AFD5E4D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$</w:t>
      </w:r>
      <w:r>
        <w:rPr>
          <w:rFonts w:ascii="Consolas" w:hAnsi="Consolas" w:cs="Courier New"/>
          <w:color w:val="008800"/>
          <w:sz w:val="17"/>
          <w:szCs w:val="17"/>
        </w:rPr>
        <w:t>"{page.SelectionMarks.Count} marcas"</w:t>
      </w:r>
    </w:p>
    <w:p w14:paraId="5517798D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09EFE4D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8E8EE9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880000"/>
          <w:sz w:val="17"/>
          <w:szCs w:val="17"/>
        </w:rPr>
        <w:t>// Líneas y su polígono</w:t>
      </w:r>
    </w:p>
    <w:p w14:paraId="6E0D70A9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page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Lines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Count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</w:p>
    <w:p w14:paraId="14A7FE0E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BCA1FE7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line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page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Lines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643698F6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r>
        <w:rPr>
          <w:rFonts w:ascii="Consolas" w:hAnsi="Consolas" w:cs="Courier New"/>
          <w:color w:val="008800"/>
          <w:sz w:val="17"/>
          <w:szCs w:val="17"/>
        </w:rPr>
        <w:t>"  Línea {i}: '{line.Content}'"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D97107A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    BoundingPolygon:"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75FDC81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439B25F1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$</w:t>
      </w:r>
      <w:r>
        <w:rPr>
          <w:rFonts w:ascii="Consolas" w:hAnsi="Consolas" w:cs="Courier New"/>
          <w:color w:val="008800"/>
          <w:sz w:val="17"/>
          <w:szCs w:val="17"/>
        </w:rPr>
        <w:t>"      UL=({line.BoundingPolygon[0].X:0.00},{line.BoundingPolygon[0].Y:0.00}) 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</w:p>
    <w:p w14:paraId="320B69AA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$</w:t>
      </w:r>
      <w:r>
        <w:rPr>
          <w:rFonts w:ascii="Consolas" w:hAnsi="Consolas" w:cs="Courier New"/>
          <w:color w:val="008800"/>
          <w:sz w:val="17"/>
          <w:szCs w:val="17"/>
        </w:rPr>
        <w:t>"UR=({line.BoundingPolygon[1].X:0.00},{line.BoundingPolygon[1].Y:0.00})"</w:t>
      </w:r>
    </w:p>
    <w:p w14:paraId="7AE173CC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6245F88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2C71B927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$</w:t>
      </w:r>
      <w:r>
        <w:rPr>
          <w:rFonts w:ascii="Consolas" w:hAnsi="Consolas" w:cs="Courier New"/>
          <w:color w:val="008800"/>
          <w:sz w:val="17"/>
          <w:szCs w:val="17"/>
        </w:rPr>
        <w:t>"      LR=({line.BoundingPolygon[2].X:0.00},{line.BoundingPolygon[2].Y:0.00}) 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</w:p>
    <w:p w14:paraId="21D8D15B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$</w:t>
      </w:r>
      <w:r>
        <w:rPr>
          <w:rFonts w:ascii="Consolas" w:hAnsi="Consolas" w:cs="Courier New"/>
          <w:color w:val="008800"/>
          <w:sz w:val="17"/>
          <w:szCs w:val="17"/>
        </w:rPr>
        <w:t>"LL=({line.BoundingPolygon[3].X:0.00},{line.BoundingPolygon[3].Y:0.00})"</w:t>
      </w:r>
    </w:p>
    <w:p w14:paraId="15E44EC7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2AEDD0A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962C40A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D0793C5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880000"/>
          <w:sz w:val="17"/>
          <w:szCs w:val="17"/>
        </w:rPr>
        <w:t>// Selection marks y su polígono</w:t>
      </w:r>
    </w:p>
    <w:p w14:paraId="46BCA1C4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page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SelectionMarks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Count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</w:p>
    <w:p w14:paraId="4D96B4B1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99ED7FF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mark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page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SelectionMarks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4DD1287A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r>
        <w:rPr>
          <w:rFonts w:ascii="Consolas" w:hAnsi="Consolas" w:cs="Courier New"/>
          <w:color w:val="008800"/>
          <w:sz w:val="17"/>
          <w:szCs w:val="17"/>
        </w:rPr>
        <w:t>"  Mark {i}: {mark.State}"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C0ABE2A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    BoundingPolygon:"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32E3609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4EDBDCF2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$</w:t>
      </w:r>
      <w:r>
        <w:rPr>
          <w:rFonts w:ascii="Consolas" w:hAnsi="Consolas" w:cs="Courier New"/>
          <w:color w:val="008800"/>
          <w:sz w:val="17"/>
          <w:szCs w:val="17"/>
        </w:rPr>
        <w:t>"      UL=({mark.BoundingPolygon[0].X:0.00},{mark.BoundingPolygon[0].Y:0.00}) 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</w:p>
    <w:p w14:paraId="63B81C7C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$</w:t>
      </w:r>
      <w:r>
        <w:rPr>
          <w:rFonts w:ascii="Consolas" w:hAnsi="Consolas" w:cs="Courier New"/>
          <w:color w:val="008800"/>
          <w:sz w:val="17"/>
          <w:szCs w:val="17"/>
        </w:rPr>
        <w:t>"UR=({mark.BoundingPolygon[1].X:0.00},{mark.BoundingPolygon[1].Y:0.00})"</w:t>
      </w:r>
    </w:p>
    <w:p w14:paraId="2929A275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D4A1B13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5EFD870F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$</w:t>
      </w:r>
      <w:r>
        <w:rPr>
          <w:rFonts w:ascii="Consolas" w:hAnsi="Consolas" w:cs="Courier New"/>
          <w:color w:val="008800"/>
          <w:sz w:val="17"/>
          <w:szCs w:val="17"/>
        </w:rPr>
        <w:t>"      LR=({mark.BoundingPolygon[2].X:0.00},{mark.BoundingPolygon[2].Y:0.00}) 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</w:p>
    <w:p w14:paraId="3F333E83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$</w:t>
      </w:r>
      <w:r>
        <w:rPr>
          <w:rFonts w:ascii="Consolas" w:hAnsi="Consolas" w:cs="Courier New"/>
          <w:color w:val="008800"/>
          <w:sz w:val="17"/>
          <w:szCs w:val="17"/>
        </w:rPr>
        <w:t>"LL=({mark.BoundingPolygon[3].X:0.00},{mark.BoundingPolygon[3].Y:0.00})"</w:t>
      </w:r>
    </w:p>
    <w:p w14:paraId="2BF20F4B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04172B6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9DA6803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AD52842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5E766D27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04650B5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492D392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FCB5B23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ShowHandwrittenSectionsSummary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AnalyzeResult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7742070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D0D308C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"Handwritten sections:"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E0C25C0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foreach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style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Styles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3112E1C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522CFA6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style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IsHandwritten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style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Confidence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0.8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384E739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CA76054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foreach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span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style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Spans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C276291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DFD054E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snippet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Content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Substring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span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Index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span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Length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EC156C1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r>
        <w:rPr>
          <w:rFonts w:ascii="Consolas" w:hAnsi="Consolas" w:cs="Courier New"/>
          <w:color w:val="008800"/>
          <w:sz w:val="17"/>
          <w:szCs w:val="17"/>
        </w:rPr>
        <w:t>"  '{snippet}'"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A2A06A7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94DF4A7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EAFAF84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4ED36BD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4B59DE0E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1A8A06B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> </w:t>
      </w:r>
    </w:p>
    <w:p w14:paraId="4D1F00D6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ShowTablesSummary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AnalyzeResult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96FF506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717B482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"The following tables were extracted:"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374A417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t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Tables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Count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t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</w:p>
    <w:p w14:paraId="2CC7B70F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4C696D7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table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Tables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t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51956828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r>
        <w:rPr>
          <w:rFonts w:ascii="Consolas" w:hAnsi="Consolas" w:cs="Courier New"/>
          <w:color w:val="008800"/>
          <w:sz w:val="17"/>
          <w:szCs w:val="17"/>
        </w:rPr>
        <w:t>"  Table {t}: {table.RowCount} rows x {table.ColumnCount} columns"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BC9AD41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30897F1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foreach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cell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table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Cells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BB9BFCE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0003812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3373FCA8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$</w:t>
      </w:r>
      <w:r>
        <w:rPr>
          <w:rFonts w:ascii="Consolas" w:hAnsi="Consolas" w:cs="Courier New"/>
          <w:color w:val="008800"/>
          <w:sz w:val="17"/>
          <w:szCs w:val="17"/>
        </w:rPr>
        <w:t>"    Cell ({cell.RowIndex},{cell.ColumnIndex})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</w:p>
    <w:p w14:paraId="03B08503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$</w:t>
      </w:r>
      <w:r>
        <w:rPr>
          <w:rFonts w:ascii="Consolas" w:hAnsi="Consolas" w:cs="Courier New"/>
          <w:color w:val="008800"/>
          <w:sz w:val="17"/>
          <w:szCs w:val="17"/>
        </w:rPr>
        <w:t>"[{cell.Kind}] '{cell.Content}'"</w:t>
      </w:r>
    </w:p>
    <w:p w14:paraId="25EB7E9C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664FB31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B055C71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7B84C7F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145B57EA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F487331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977E7B4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800DA7A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7996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2DBDCB8" w14:textId="77777777" w:rsidR="009E61C2" w:rsidRDefault="009E61C2" w:rsidP="009E61C2"/>
    <w:p w14:paraId="59331550" w14:textId="77777777" w:rsidR="009E61C2" w:rsidRDefault="009E61C2" w:rsidP="009E61C2"/>
    <w:p w14:paraId="122D55B3" w14:textId="6E071B3B" w:rsidR="009E61C2" w:rsidRDefault="009E61C2" w:rsidP="009E61C2">
      <w:pPr>
        <w:pStyle w:val="Ttulo1"/>
      </w:pPr>
      <w:r>
        <w:lastRenderedPageBreak/>
        <w:t>RESULTADO</w:t>
      </w:r>
      <w:r w:rsidR="00CD104F">
        <w:rPr>
          <w:noProof/>
        </w:rPr>
        <w:drawing>
          <wp:inline distT="0" distB="0" distL="0" distR="0" wp14:anchorId="2136C705" wp14:editId="10DE3C8E">
            <wp:extent cx="5428253" cy="7028597"/>
            <wp:effectExtent l="0" t="0" r="1270" b="1270"/>
            <wp:docPr id="120656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051" cy="7037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ADF69" w14:textId="08479418" w:rsidR="00CD104F" w:rsidRDefault="00CD104F" w:rsidP="00CD104F">
      <w:pPr>
        <w:ind w:left="720"/>
      </w:pPr>
    </w:p>
    <w:p w14:paraId="1EF02926" w14:textId="77777777" w:rsidR="00CD104F" w:rsidRDefault="00CD104F" w:rsidP="00CD104F">
      <w:pPr>
        <w:ind w:left="720"/>
      </w:pPr>
    </w:p>
    <w:p w14:paraId="5FC10DFA" w14:textId="77777777" w:rsidR="00CD104F" w:rsidRDefault="00CD104F" w:rsidP="00CD104F">
      <w:pPr>
        <w:ind w:left="720"/>
      </w:pPr>
    </w:p>
    <w:p w14:paraId="5DDDDA07" w14:textId="77777777" w:rsidR="00CD104F" w:rsidRPr="00CD104F" w:rsidRDefault="00CD104F" w:rsidP="00CD104F">
      <w:pPr>
        <w:ind w:left="720"/>
      </w:pPr>
    </w:p>
    <w:p w14:paraId="51EAD5EC" w14:textId="42A034EA" w:rsidR="009E61C2" w:rsidRDefault="009E61C2" w:rsidP="009E61C2">
      <w:pPr>
        <w:numPr>
          <w:ilvl w:val="0"/>
          <w:numId w:val="6"/>
        </w:numPr>
      </w:pPr>
      <w:r w:rsidRPr="009E61C2">
        <w:rPr>
          <w:b/>
          <w:bCs/>
        </w:rPr>
        <w:lastRenderedPageBreak/>
        <w:t>Key-Value Pairs</w:t>
      </w:r>
      <w:r w:rsidRPr="009E61C2">
        <w:t xml:space="preserve"> (ShowKeyValuePairsSummary)</w:t>
      </w:r>
    </w:p>
    <w:p w14:paraId="22A95EF4" w14:textId="15BBCBC5" w:rsidR="00DA1543" w:rsidRPr="009E61C2" w:rsidRDefault="00DA1543" w:rsidP="00DA1543">
      <w:pPr>
        <w:ind w:left="720"/>
      </w:pPr>
      <w:r>
        <w:t>S</w:t>
      </w:r>
      <w:r w:rsidRPr="00DA1543">
        <w:t>on parejas “genéricas” que el servicio extrae basándose en la proximidad y el layout (etiqueta → valor)</w:t>
      </w:r>
    </w:p>
    <w:p w14:paraId="391D9B46" w14:textId="77777777" w:rsidR="009E61C2" w:rsidRPr="009E61C2" w:rsidRDefault="009E61C2" w:rsidP="009E61C2">
      <w:pPr>
        <w:numPr>
          <w:ilvl w:val="1"/>
          <w:numId w:val="6"/>
        </w:numPr>
      </w:pPr>
      <w:r w:rsidRPr="009E61C2">
        <w:rPr>
          <w:b/>
          <w:bCs/>
        </w:rPr>
        <w:t>Ejemplo</w:t>
      </w:r>
      <w:r w:rsidRPr="009E61C2">
        <w:t>:</w:t>
      </w:r>
    </w:p>
    <w:p w14:paraId="3FDA8C6B" w14:textId="77777777" w:rsidR="009E61C2" w:rsidRPr="009E61C2" w:rsidRDefault="009E61C2" w:rsidP="009E61C2">
      <w:pPr>
        <w:numPr>
          <w:ilvl w:val="2"/>
          <w:numId w:val="6"/>
        </w:numPr>
      </w:pPr>
      <w:r w:rsidRPr="009E61C2">
        <w:rPr>
          <w:i/>
          <w:iCs/>
        </w:rPr>
        <w:t>Key</w:t>
      </w:r>
      <w:r w:rsidRPr="009E61C2">
        <w:t xml:space="preserve">: </w:t>
      </w:r>
      <w:r w:rsidRPr="009E61C2">
        <w:rPr>
          <w:b/>
          <w:bCs/>
        </w:rPr>
        <w:t>Commission File Number</w:t>
      </w:r>
    </w:p>
    <w:p w14:paraId="3E49C35B" w14:textId="77777777" w:rsidR="009E61C2" w:rsidRDefault="009E61C2" w:rsidP="009E61C2">
      <w:pPr>
        <w:numPr>
          <w:ilvl w:val="2"/>
          <w:numId w:val="6"/>
        </w:numPr>
      </w:pPr>
      <w:r w:rsidRPr="009E61C2">
        <w:rPr>
          <w:i/>
          <w:iCs/>
        </w:rPr>
        <w:t>Value</w:t>
      </w:r>
      <w:r w:rsidRPr="009E61C2">
        <w:t xml:space="preserve">: </w:t>
      </w:r>
      <w:r w:rsidRPr="009E61C2">
        <w:rPr>
          <w:b/>
          <w:bCs/>
        </w:rPr>
        <w:t>001-37845</w:t>
      </w:r>
      <w:r w:rsidRPr="009E61C2">
        <w:t xml:space="preserve"> </w:t>
      </w:r>
    </w:p>
    <w:p w14:paraId="48AFC081" w14:textId="2DB8E935" w:rsidR="00D07CA5" w:rsidRPr="009E61C2" w:rsidRDefault="00D07CA5" w:rsidP="00D07CA5">
      <w:pPr>
        <w:jc w:val="center"/>
      </w:pPr>
      <w:r>
        <w:rPr>
          <w:noProof/>
        </w:rPr>
        <w:drawing>
          <wp:inline distT="0" distB="0" distL="0" distR="0" wp14:anchorId="29D75F29" wp14:editId="74C37995">
            <wp:extent cx="2470245" cy="392183"/>
            <wp:effectExtent l="0" t="0" r="6350" b="8255"/>
            <wp:docPr id="608080755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80755" name="Imagen 1" descr="Imagen que contiene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0043" cy="39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855C6" w14:textId="77777777" w:rsidR="009E61C2" w:rsidRDefault="009E61C2" w:rsidP="009E61C2">
      <w:pPr>
        <w:numPr>
          <w:ilvl w:val="0"/>
          <w:numId w:val="6"/>
        </w:numPr>
      </w:pPr>
      <w:r w:rsidRPr="009E61C2">
        <w:rPr>
          <w:b/>
          <w:bCs/>
        </w:rPr>
        <w:t>Entities (Fields)</w:t>
      </w:r>
      <w:r w:rsidRPr="009E61C2">
        <w:t xml:space="preserve"> (ShowEntitiesSummary)</w:t>
      </w:r>
    </w:p>
    <w:p w14:paraId="185DEBB1" w14:textId="2E6E0DA9" w:rsidR="00DA1543" w:rsidRDefault="00DA1543" w:rsidP="00DA1543">
      <w:pPr>
        <w:ind w:left="720"/>
      </w:pPr>
      <w:r>
        <w:t>S</w:t>
      </w:r>
      <w:r w:rsidRPr="00DA1543">
        <w:t>on elementos semánticos reconocidos por un modelo pre-construido con significado concreto</w:t>
      </w:r>
      <w:r>
        <w:t>.</w:t>
      </w:r>
    </w:p>
    <w:p w14:paraId="17B5639F" w14:textId="5074FA64" w:rsidR="00DA1543" w:rsidRPr="009E61C2" w:rsidRDefault="00DA1543" w:rsidP="00DA1543">
      <w:pPr>
        <w:numPr>
          <w:ilvl w:val="1"/>
          <w:numId w:val="6"/>
        </w:numPr>
      </w:pPr>
      <w:r w:rsidRPr="009E61C2">
        <w:rPr>
          <w:b/>
          <w:bCs/>
        </w:rPr>
        <w:t>Ejemplo</w:t>
      </w:r>
      <w:r w:rsidRPr="009E61C2">
        <w:t>:</w:t>
      </w:r>
    </w:p>
    <w:p w14:paraId="2F1991BA" w14:textId="77777777" w:rsidR="009E61C2" w:rsidRPr="009E61C2" w:rsidRDefault="009E61C2" w:rsidP="009E61C2">
      <w:pPr>
        <w:numPr>
          <w:ilvl w:val="2"/>
          <w:numId w:val="6"/>
        </w:numPr>
      </w:pPr>
      <w:r w:rsidRPr="009E61C2">
        <w:rPr>
          <w:b/>
          <w:bCs/>
        </w:rPr>
        <w:t>Field</w:t>
      </w:r>
      <w:r w:rsidRPr="009E61C2">
        <w:t xml:space="preserve">: </w:t>
      </w:r>
      <w:r w:rsidRPr="009E61C2">
        <w:rPr>
          <w:b/>
          <w:bCs/>
        </w:rPr>
        <w:t>For the Quarterly Period Ended</w:t>
      </w:r>
    </w:p>
    <w:p w14:paraId="02F8642A" w14:textId="77777777" w:rsidR="009E61C2" w:rsidRDefault="009E61C2" w:rsidP="009E61C2">
      <w:pPr>
        <w:numPr>
          <w:ilvl w:val="2"/>
          <w:numId w:val="6"/>
        </w:numPr>
      </w:pPr>
      <w:r w:rsidRPr="009E61C2">
        <w:rPr>
          <w:b/>
          <w:bCs/>
        </w:rPr>
        <w:t>Value</w:t>
      </w:r>
      <w:r w:rsidRPr="009E61C2">
        <w:t xml:space="preserve">: </w:t>
      </w:r>
      <w:r w:rsidRPr="009E61C2">
        <w:rPr>
          <w:b/>
          <w:bCs/>
        </w:rPr>
        <w:t>March 31, 2020</w:t>
      </w:r>
      <w:r w:rsidRPr="009E61C2">
        <w:t xml:space="preserve"> (tipo Date, confianza alta) </w:t>
      </w:r>
    </w:p>
    <w:p w14:paraId="5B0BB8CE" w14:textId="7A2566E7" w:rsidR="00D07CA5" w:rsidRPr="009E61C2" w:rsidRDefault="00D07CA5" w:rsidP="00D07CA5">
      <w:pPr>
        <w:jc w:val="center"/>
      </w:pPr>
      <w:r>
        <w:rPr>
          <w:noProof/>
        </w:rPr>
        <w:drawing>
          <wp:inline distT="0" distB="0" distL="0" distR="0" wp14:anchorId="07E9A35C" wp14:editId="0D747F4D">
            <wp:extent cx="3070746" cy="704495"/>
            <wp:effectExtent l="0" t="0" r="0" b="635"/>
            <wp:docPr id="139247429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7429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4209" cy="71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5FB3" w14:textId="77777777" w:rsidR="009E61C2" w:rsidRPr="009E61C2" w:rsidRDefault="009E61C2" w:rsidP="009E61C2">
      <w:pPr>
        <w:numPr>
          <w:ilvl w:val="0"/>
          <w:numId w:val="6"/>
        </w:numPr>
      </w:pPr>
      <w:r w:rsidRPr="009E61C2">
        <w:rPr>
          <w:b/>
          <w:bCs/>
        </w:rPr>
        <w:t>Layout &amp; Marks</w:t>
      </w:r>
      <w:r w:rsidRPr="009E61C2">
        <w:t xml:space="preserve"> (ShowLayoutAndMarksSummary)</w:t>
      </w:r>
    </w:p>
    <w:p w14:paraId="178F119A" w14:textId="77777777" w:rsidR="009E61C2" w:rsidRPr="009E61C2" w:rsidRDefault="009E61C2" w:rsidP="009E61C2">
      <w:pPr>
        <w:numPr>
          <w:ilvl w:val="1"/>
          <w:numId w:val="6"/>
        </w:numPr>
      </w:pPr>
      <w:r w:rsidRPr="009E61C2">
        <w:t>Muestra líneas y marcas con sus polígonos límite. Por ejemplo, en la página 1:</w:t>
      </w:r>
    </w:p>
    <w:p w14:paraId="3CE6855F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35045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Document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Page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has </w:t>
      </w:r>
      <w:r>
        <w:rPr>
          <w:rFonts w:ascii="Consolas" w:hAnsi="Consolas" w:cs="Courier New"/>
          <w:color w:val="006666"/>
          <w:sz w:val="17"/>
          <w:szCs w:val="17"/>
        </w:rPr>
        <w:t>67</w:t>
      </w:r>
      <w:r>
        <w:rPr>
          <w:rFonts w:ascii="Consolas" w:hAnsi="Consolas" w:cs="Courier New"/>
          <w:color w:val="000000"/>
          <w:sz w:val="17"/>
          <w:szCs w:val="17"/>
        </w:rPr>
        <w:t xml:space="preserve"> line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413</w:t>
      </w:r>
      <w:r>
        <w:rPr>
          <w:rFonts w:ascii="Consolas" w:hAnsi="Consolas" w:cs="Courier New"/>
          <w:color w:val="000000"/>
          <w:sz w:val="17"/>
          <w:szCs w:val="17"/>
        </w:rPr>
        <w:t xml:space="preserve"> word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14</w:t>
      </w:r>
      <w:r>
        <w:rPr>
          <w:rFonts w:ascii="Consolas" w:hAnsi="Consolas" w:cs="Courier New"/>
          <w:color w:val="000000"/>
          <w:sz w:val="17"/>
          <w:szCs w:val="17"/>
        </w:rPr>
        <w:t xml:space="preserve"> selection mark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).</w:t>
      </w:r>
    </w:p>
    <w:p w14:paraId="729759C9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35045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0066"/>
          <w:sz w:val="17"/>
          <w:szCs w:val="17"/>
        </w:rPr>
        <w:t>Line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000000"/>
          <w:sz w:val="17"/>
          <w:szCs w:val="17"/>
        </w:rPr>
        <w:t xml:space="preserve"> has content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'FORM 10-Q'</w:t>
      </w:r>
    </w:p>
    <w:p w14:paraId="335C70C7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35045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BoundingPolygon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C5F4666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35045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UL</w:t>
      </w:r>
      <w:r>
        <w:rPr>
          <w:rFonts w:ascii="Consolas" w:hAnsi="Consolas" w:cs="Courier New"/>
          <w:color w:val="666600"/>
          <w:sz w:val="17"/>
          <w:szCs w:val="17"/>
        </w:rPr>
        <w:t>=(</w:t>
      </w:r>
      <w:r>
        <w:rPr>
          <w:rFonts w:ascii="Consolas" w:hAnsi="Consolas" w:cs="Courier New"/>
          <w:color w:val="006666"/>
          <w:sz w:val="17"/>
          <w:szCs w:val="17"/>
        </w:rPr>
        <w:t>3.71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1.39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UR</w:t>
      </w:r>
      <w:r>
        <w:rPr>
          <w:rFonts w:ascii="Consolas" w:hAnsi="Consolas" w:cs="Courier New"/>
          <w:color w:val="666600"/>
          <w:sz w:val="17"/>
          <w:szCs w:val="17"/>
        </w:rPr>
        <w:t>=(</w:t>
      </w:r>
      <w:r>
        <w:rPr>
          <w:rFonts w:ascii="Consolas" w:hAnsi="Consolas" w:cs="Courier New"/>
          <w:color w:val="006666"/>
          <w:sz w:val="17"/>
          <w:szCs w:val="17"/>
        </w:rPr>
        <w:t>4.79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1.39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E1CBB87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35045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LR</w:t>
      </w:r>
      <w:r>
        <w:rPr>
          <w:rFonts w:ascii="Consolas" w:hAnsi="Consolas" w:cs="Courier New"/>
          <w:color w:val="666600"/>
          <w:sz w:val="17"/>
          <w:szCs w:val="17"/>
        </w:rPr>
        <w:t>=(</w:t>
      </w:r>
      <w:r>
        <w:rPr>
          <w:rFonts w:ascii="Consolas" w:hAnsi="Consolas" w:cs="Courier New"/>
          <w:color w:val="006666"/>
          <w:sz w:val="17"/>
          <w:szCs w:val="17"/>
        </w:rPr>
        <w:t>4.79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1.59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LL</w:t>
      </w:r>
      <w:r>
        <w:rPr>
          <w:rFonts w:ascii="Consolas" w:hAnsi="Consolas" w:cs="Courier New"/>
          <w:color w:val="666600"/>
          <w:sz w:val="17"/>
          <w:szCs w:val="17"/>
        </w:rPr>
        <w:t>=(</w:t>
      </w:r>
      <w:r>
        <w:rPr>
          <w:rFonts w:ascii="Consolas" w:hAnsi="Consolas" w:cs="Courier New"/>
          <w:color w:val="006666"/>
          <w:sz w:val="17"/>
          <w:szCs w:val="17"/>
        </w:rPr>
        <w:t>3.71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1.59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F530946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35045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0066"/>
          <w:sz w:val="17"/>
          <w:szCs w:val="17"/>
        </w:rPr>
        <w:t>Mark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Selected</w:t>
      </w:r>
      <w:r>
        <w:rPr>
          <w:rFonts w:ascii="Consolas" w:hAnsi="Consolas" w:cs="Courier New"/>
          <w:color w:val="666600"/>
          <w:sz w:val="17"/>
          <w:szCs w:val="17"/>
        </w:rPr>
        <w:t>.</w:t>
      </w:r>
    </w:p>
    <w:p w14:paraId="0F97BD8A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35045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BoundingPolygon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B4F1B51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35045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UL</w:t>
      </w:r>
      <w:r>
        <w:rPr>
          <w:rFonts w:ascii="Consolas" w:hAnsi="Consolas" w:cs="Courier New"/>
          <w:color w:val="666600"/>
          <w:sz w:val="17"/>
          <w:szCs w:val="17"/>
        </w:rPr>
        <w:t>=(</w:t>
      </w:r>
      <w:r>
        <w:rPr>
          <w:rFonts w:ascii="Consolas" w:hAnsi="Consolas" w:cs="Courier New"/>
          <w:color w:val="006666"/>
          <w:sz w:val="17"/>
          <w:szCs w:val="17"/>
        </w:rPr>
        <w:t>0.67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1.77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UR</w:t>
      </w:r>
      <w:r>
        <w:rPr>
          <w:rFonts w:ascii="Consolas" w:hAnsi="Consolas" w:cs="Courier New"/>
          <w:color w:val="666600"/>
          <w:sz w:val="17"/>
          <w:szCs w:val="17"/>
        </w:rPr>
        <w:t>=(</w:t>
      </w:r>
      <w:r>
        <w:rPr>
          <w:rFonts w:ascii="Consolas" w:hAnsi="Consolas" w:cs="Courier New"/>
          <w:color w:val="006666"/>
          <w:sz w:val="17"/>
          <w:szCs w:val="17"/>
        </w:rPr>
        <w:t>0.78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1.77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4D7D781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35045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LR</w:t>
      </w:r>
      <w:r>
        <w:rPr>
          <w:rFonts w:ascii="Consolas" w:hAnsi="Consolas" w:cs="Courier New"/>
          <w:color w:val="666600"/>
          <w:sz w:val="17"/>
          <w:szCs w:val="17"/>
        </w:rPr>
        <w:t>=(</w:t>
      </w:r>
      <w:r>
        <w:rPr>
          <w:rFonts w:ascii="Consolas" w:hAnsi="Consolas" w:cs="Courier New"/>
          <w:color w:val="006666"/>
          <w:sz w:val="17"/>
          <w:szCs w:val="17"/>
        </w:rPr>
        <w:t>0.78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1.88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LL</w:t>
      </w:r>
      <w:r>
        <w:rPr>
          <w:rFonts w:ascii="Consolas" w:hAnsi="Consolas" w:cs="Courier New"/>
          <w:color w:val="666600"/>
          <w:sz w:val="17"/>
          <w:szCs w:val="17"/>
        </w:rPr>
        <w:t>=(</w:t>
      </w:r>
      <w:r>
        <w:rPr>
          <w:rFonts w:ascii="Consolas" w:hAnsi="Consolas" w:cs="Courier New"/>
          <w:color w:val="006666"/>
          <w:sz w:val="17"/>
          <w:szCs w:val="17"/>
        </w:rPr>
        <w:t>0.67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1.88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7734AFA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35045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22B665D" w14:textId="77777777" w:rsidR="009E61C2" w:rsidRDefault="009E61C2" w:rsidP="009E61C2">
      <w:pPr>
        <w:rPr>
          <w:i/>
          <w:iCs/>
        </w:rPr>
      </w:pPr>
      <w:r w:rsidRPr="009E61C2">
        <w:rPr>
          <w:i/>
          <w:iCs/>
        </w:rPr>
        <w:t>(Coordenadas en pulgadas tal como las reporta el servicio.)</w:t>
      </w:r>
    </w:p>
    <w:p w14:paraId="77A3D150" w14:textId="754F31A9" w:rsidR="00D07CA5" w:rsidRPr="009E61C2" w:rsidRDefault="00D07CA5" w:rsidP="00D07CA5">
      <w:pPr>
        <w:jc w:val="center"/>
      </w:pPr>
      <w:r>
        <w:rPr>
          <w:noProof/>
        </w:rPr>
        <w:drawing>
          <wp:inline distT="0" distB="0" distL="0" distR="0" wp14:anchorId="7A3125FD" wp14:editId="1A22780B">
            <wp:extent cx="2524836" cy="658227"/>
            <wp:effectExtent l="0" t="0" r="0" b="8890"/>
            <wp:docPr id="14757735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7351" name="Imagen 1" descr="Interfaz de usuario gráfica, 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5159" cy="67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C125" w14:textId="77777777" w:rsidR="009E61C2" w:rsidRPr="009E61C2" w:rsidRDefault="009E61C2" w:rsidP="009E61C2">
      <w:pPr>
        <w:numPr>
          <w:ilvl w:val="0"/>
          <w:numId w:val="6"/>
        </w:numPr>
      </w:pPr>
      <w:r w:rsidRPr="009E61C2">
        <w:rPr>
          <w:b/>
          <w:bCs/>
        </w:rPr>
        <w:t>Handwritten Sections</w:t>
      </w:r>
      <w:r w:rsidRPr="009E61C2">
        <w:t xml:space="preserve"> (ShowHandwrittenSectionsSummary)</w:t>
      </w:r>
    </w:p>
    <w:p w14:paraId="72B88D98" w14:textId="77777777" w:rsidR="009E61C2" w:rsidRDefault="009E61C2" w:rsidP="009E61C2">
      <w:pPr>
        <w:numPr>
          <w:ilvl w:val="1"/>
          <w:numId w:val="6"/>
        </w:numPr>
      </w:pPr>
      <w:r w:rsidRPr="009E61C2">
        <w:lastRenderedPageBreak/>
        <w:t>En este documento no se detectó texto manuscrito (la lista result.Styles no contiene secciones con IsHandwritten == true y confianza &gt; 0.8).</w:t>
      </w:r>
    </w:p>
    <w:p w14:paraId="110B16EF" w14:textId="77777777" w:rsidR="00D07CA5" w:rsidRPr="009E61C2" w:rsidRDefault="00D07CA5" w:rsidP="00D07CA5">
      <w:pPr>
        <w:ind w:left="1440"/>
      </w:pPr>
    </w:p>
    <w:p w14:paraId="2D1CE24D" w14:textId="77777777" w:rsidR="009E61C2" w:rsidRPr="009E61C2" w:rsidRDefault="009E61C2" w:rsidP="009E61C2">
      <w:pPr>
        <w:numPr>
          <w:ilvl w:val="0"/>
          <w:numId w:val="6"/>
        </w:numPr>
      </w:pPr>
      <w:r w:rsidRPr="009E61C2">
        <w:rPr>
          <w:b/>
          <w:bCs/>
        </w:rPr>
        <w:t>Tables</w:t>
      </w:r>
      <w:r w:rsidRPr="009E61C2">
        <w:t xml:space="preserve"> (ShowTablesSummary)</w:t>
      </w:r>
    </w:p>
    <w:p w14:paraId="482274F8" w14:textId="77777777" w:rsidR="009E61C2" w:rsidRPr="009E61C2" w:rsidRDefault="009E61C2" w:rsidP="009E61C2">
      <w:pPr>
        <w:numPr>
          <w:ilvl w:val="1"/>
          <w:numId w:val="6"/>
        </w:numPr>
      </w:pPr>
      <w:r w:rsidRPr="009E61C2">
        <w:t>Extrae todas las tablas encontradas. Un ejemplo de la primera:</w:t>
      </w:r>
    </w:p>
    <w:p w14:paraId="5A6EA2AB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3282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Table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000000"/>
          <w:sz w:val="17"/>
          <w:szCs w:val="17"/>
        </w:rPr>
        <w:t xml:space="preserve"> rows </w:t>
      </w:r>
      <w:r>
        <w:rPr>
          <w:rFonts w:ascii="Consolas" w:hAnsi="Consolas" w:cs="Courier New"/>
          <w:color w:val="666600"/>
          <w:sz w:val="17"/>
          <w:szCs w:val="17"/>
        </w:rPr>
        <w:t>×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000000"/>
          <w:sz w:val="17"/>
          <w:szCs w:val="17"/>
        </w:rPr>
        <w:t xml:space="preserve"> columns</w:t>
      </w:r>
    </w:p>
    <w:p w14:paraId="61635D66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3282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0066"/>
          <w:sz w:val="17"/>
          <w:szCs w:val="17"/>
        </w:rPr>
        <w:t>Cell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columnHeader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'Title of each class'</w:t>
      </w:r>
    </w:p>
    <w:p w14:paraId="3C0305BF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3282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0066"/>
          <w:sz w:val="17"/>
          <w:szCs w:val="17"/>
        </w:rPr>
        <w:t>Cell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columnHeader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'Trading Symbol'</w:t>
      </w:r>
    </w:p>
    <w:p w14:paraId="5B00353F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3282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0066"/>
          <w:sz w:val="17"/>
          <w:szCs w:val="17"/>
        </w:rPr>
        <w:t>Cell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columnHeader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'Name of exchange on which registered'</w:t>
      </w:r>
    </w:p>
    <w:p w14:paraId="320788F4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3282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0066"/>
          <w:sz w:val="17"/>
          <w:szCs w:val="17"/>
        </w:rPr>
        <w:t>Cell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content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'Common stock, $0.00000625 par value per share'</w:t>
      </w:r>
    </w:p>
    <w:p w14:paraId="661DD506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3282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0066"/>
          <w:sz w:val="17"/>
          <w:szCs w:val="17"/>
        </w:rPr>
        <w:t>Cell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content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'MSFT'</w:t>
      </w:r>
    </w:p>
    <w:p w14:paraId="218245F6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3282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0066"/>
          <w:sz w:val="17"/>
          <w:szCs w:val="17"/>
        </w:rPr>
        <w:t>Cell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content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'NASDAQ'</w:t>
      </w:r>
    </w:p>
    <w:p w14:paraId="1DC2AEBC" w14:textId="77777777" w:rsidR="009E61C2" w:rsidRDefault="009E6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3282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BE7AEAF" w14:textId="77777777" w:rsidR="009E61C2" w:rsidRDefault="009E61C2" w:rsidP="009E61C2"/>
    <w:p w14:paraId="25FFA28A" w14:textId="11F67DDB" w:rsidR="00D07CA5" w:rsidRPr="009E61C2" w:rsidRDefault="00D07CA5" w:rsidP="009E61C2">
      <w:r>
        <w:rPr>
          <w:noProof/>
        </w:rPr>
        <w:drawing>
          <wp:inline distT="0" distB="0" distL="0" distR="0" wp14:anchorId="3846E498" wp14:editId="0741660B">
            <wp:extent cx="5400040" cy="670560"/>
            <wp:effectExtent l="0" t="0" r="0" b="0"/>
            <wp:docPr id="1674416742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16742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7CA5" w:rsidRPr="009E61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40E89"/>
    <w:multiLevelType w:val="multilevel"/>
    <w:tmpl w:val="C2FA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D6906"/>
    <w:multiLevelType w:val="hybridMultilevel"/>
    <w:tmpl w:val="DA12A0A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60133A"/>
    <w:multiLevelType w:val="multilevel"/>
    <w:tmpl w:val="89A2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B017F7"/>
    <w:multiLevelType w:val="multilevel"/>
    <w:tmpl w:val="17D49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4526C6"/>
    <w:multiLevelType w:val="multilevel"/>
    <w:tmpl w:val="7188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E7681F"/>
    <w:multiLevelType w:val="multilevel"/>
    <w:tmpl w:val="55726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870390">
    <w:abstractNumId w:val="0"/>
  </w:num>
  <w:num w:numId="2" w16cid:durableId="1824664865">
    <w:abstractNumId w:val="4"/>
  </w:num>
  <w:num w:numId="3" w16cid:durableId="2042436959">
    <w:abstractNumId w:val="2"/>
  </w:num>
  <w:num w:numId="4" w16cid:durableId="989746097">
    <w:abstractNumId w:val="5"/>
  </w:num>
  <w:num w:numId="5" w16cid:durableId="1372417183">
    <w:abstractNumId w:val="1"/>
  </w:num>
  <w:num w:numId="6" w16cid:durableId="317290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84F"/>
    <w:rsid w:val="000E4621"/>
    <w:rsid w:val="00192097"/>
    <w:rsid w:val="002A1A43"/>
    <w:rsid w:val="00333E49"/>
    <w:rsid w:val="006C6130"/>
    <w:rsid w:val="006D7A13"/>
    <w:rsid w:val="00793330"/>
    <w:rsid w:val="00843610"/>
    <w:rsid w:val="00874E37"/>
    <w:rsid w:val="009E61C2"/>
    <w:rsid w:val="00A12E6A"/>
    <w:rsid w:val="00BE46AA"/>
    <w:rsid w:val="00C508F0"/>
    <w:rsid w:val="00CD104F"/>
    <w:rsid w:val="00D07CA5"/>
    <w:rsid w:val="00DA1543"/>
    <w:rsid w:val="00DE39E7"/>
    <w:rsid w:val="00F07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588F8"/>
  <w15:chartTrackingRefBased/>
  <w15:docId w15:val="{FFB1F116-60AD-4766-B922-9B16026B1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7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7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7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7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7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7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7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7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7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7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7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7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78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78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78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78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78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78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7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7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7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7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7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78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78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78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7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78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78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61C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0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8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2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0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8BF71B8-EB10-470C-B551-CDAD8C3AD682}">
  <we:reference id="wa104382008" version="1.1.0.1" store="es-E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12</Pages>
  <Words>1528</Words>
  <Characters>8410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GUERRERO GONZÁLEZ, DAVID</dc:creator>
  <cp:keywords/>
  <dc:description/>
  <cp:lastModifiedBy>GUERRERO GONZÁLEZ, DAVID</cp:lastModifiedBy>
  <cp:revision>12</cp:revision>
  <dcterms:created xsi:type="dcterms:W3CDTF">2025-05-08T18:19:00Z</dcterms:created>
  <dcterms:modified xsi:type="dcterms:W3CDTF">2025-05-09T19:37:00Z</dcterms:modified>
</cp:coreProperties>
</file>