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Práctica 3, Ejercicio 1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Índice de confort térmico (ICT)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1. Problema</w:t>
      </w:r>
    </w:p>
    <w:p>
      <w:r>
        <w:rPr>
          <w:rFonts w:ascii="Atkinson Hyperlegible Next" w:hAnsi="Atkinson Hyperlegible Next" w:cs="Atkinson Hyperlegible Next" w:eastAsia="Atkinson Hyperlegible Next"/>
        </w:rPr>
        <w:t>SportClima quiere estimar el ICT (de 0 a 1) a partir de la temperatura interior T y el porcentaje de ocupación O, ambos normalizados a [0, 1]. El experto dice que el confort máximo está cerca de los 22 °C y un aforo del 55 %. Uso un modelo ANFIS de 5 capas en PyTorch para que aprenda eso a partir de los datos.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2. Decisiones de diseño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Parámetro</w:t>
            </w:r>
          </w:p>
        </w:tc>
        <w:tc>
          <w:tcPr>
            <w:tcW w:type="dxa" w:w="2551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Valor</w:t>
            </w:r>
          </w:p>
        </w:tc>
        <w:tc>
          <w:tcPr>
            <w:tcW w:type="dxa" w:w="4819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170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n_rules</w:t>
            </w:r>
          </w:p>
        </w:tc>
        <w:tc>
          <w:tcPr>
            <w:tcW w:type="dxa" w:w="255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Una regla por cuadrante (T baja/alta × O baja/alta).</w:t>
            </w:r>
          </w:p>
        </w:tc>
      </w:tr>
      <w:tr>
        <w:tc>
          <w:tcPr>
            <w:tcW w:type="dxa" w:w="170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n_epochs</w:t>
            </w:r>
          </w:p>
        </w:tc>
        <w:tc>
          <w:tcPr>
            <w:tcW w:type="dxa" w:w="255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800</w:t>
            </w:r>
          </w:p>
        </w:tc>
        <w:tc>
          <w:tcPr>
            <w:tcW w:type="dxa" w:w="4819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Estabiliza sobre la época 200, paro a las 800.</w:t>
            </w:r>
          </w:p>
        </w:tc>
      </w:tr>
      <w:tr>
        <w:tc>
          <w:tcPr>
            <w:tcW w:type="dxa" w:w="170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lr</w:t>
            </w:r>
          </w:p>
        </w:tc>
        <w:tc>
          <w:tcPr>
            <w:tcW w:type="dxa" w:w="255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0.01 (probé también 0.005)</w:t>
            </w:r>
          </w:p>
        </w:tc>
        <w:tc>
          <w:tcPr>
            <w:tcW w:type="dxa" w:w="4819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Con 0.01 converge antes; bajarlo no aporta nada.</w:t>
            </w:r>
          </w:p>
        </w:tc>
      </w:tr>
      <w:tr>
        <w:tc>
          <w:tcPr>
            <w:tcW w:type="dxa" w:w="170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Init μ</w:t>
            </w:r>
          </w:p>
        </w:tc>
        <w:tc>
          <w:tcPr>
            <w:tcW w:type="dxa" w:w="2551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K-means y aleatoria (comparadas)</w:t>
            </w:r>
          </w:p>
        </w:tc>
        <w:tc>
          <w:tcPr>
            <w:tcW w:type="dxa" w:w="4819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K-means coloca los centros donde hay datos.</w:t>
            </w:r>
          </w:p>
        </w:tc>
      </w:tr>
    </w:tbl>
    <w:p/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3. Experimento A: curva de entrenamiento</w:t>
      </w:r>
    </w:p>
    <w:p>
      <w:r>
        <w:rPr>
          <w:rFonts w:ascii="Atkinson Hyperlegible Next" w:hAnsi="Atkinson Hyperlegible Next" w:cs="Atkinson Hyperlegible Next" w:eastAsia="Atkinson Hyperlegible Next"/>
        </w:rP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A_converg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tkinson Hyperlegible Next" w:hAnsi="Atkinson Hyperlegible Next" w:cs="Atkinson Hyperlegible Next" w:eastAsia="Atkinson Hyperlegible Next"/>
        </w:rPr>
        <w:t>MSE final con K-means y lr=0.01: 0.0011. K-means estabiliza sobre la época 100 y la aleatoria sobre la 150. Con lr=0.005 va más lento sin mejorar el final. Me quedo con K-means y lr=0.01.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4. Experimento B: predicción vs real</w:t>
      </w:r>
    </w:p>
    <w:p>
      <w:r>
        <w:rPr>
          <w:rFonts w:ascii="Atkinson Hyperlegible Next" w:hAnsi="Atkinson Hyperlegible Next" w:cs="Atkinson Hyperlegible Next" w:eastAsia="Atkinson Hyperlegible Next"/>
          <w:b/>
        </w:rPr>
        <w:t>RMSE = 0.0373</w:t>
      </w:r>
      <w:r>
        <w:rPr>
          <w:rFonts w:ascii="Atkinson Hyperlegible Next" w:hAnsi="Atkinson Hyperlegible Next" w:cs="Atkinson Hyperlegible Next" w:eastAsia="Atkinson Hyperlegible Next"/>
        </w:rPr>
        <w:t xml:space="preserve">, </w:t>
      </w:r>
      <w:r>
        <w:rPr>
          <w:rFonts w:ascii="Atkinson Hyperlegible Next" w:hAnsi="Atkinson Hyperlegible Next" w:cs="Atkinson Hyperlegible Next" w:eastAsia="Atkinson Hyperlegible Next"/>
          <w:b/>
        </w:rPr>
        <w:t>R² = 0.9626.</w:t>
      </w:r>
    </w:p>
    <w:p>
      <w:r>
        <w:rPr>
          <w:rFonts w:ascii="Atkinson Hyperlegible Next" w:hAnsi="Atkinson Hyperlegible Next" w:cs="Atkinson Hyperlegible Next" w:eastAsia="Atkinson Hyperlegible Next"/>
        </w:rPr>
        <w:drawing>
          <wp:inline xmlns:a="http://schemas.openxmlformats.org/drawingml/2006/main" xmlns:pic="http://schemas.openxmlformats.org/drawingml/2006/picture">
            <wp:extent cx="32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B_pred_vs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tkinson Hyperlegible Next" w:hAnsi="Atkinson Hyperlegible Next" w:cs="Atkinson Hyperlegible Next" w:eastAsia="Atkinson Hyperlegible Next"/>
        </w:rPr>
        <w:t>La nube sigue la diagonal. El modelo aproxima bien al criterio del experto: el error es del orden del propio ruido del dataset (0.04).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5. Experimento C: reglas aprendidas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Regla</w:t>
            </w:r>
          </w:p>
        </w:tc>
        <w:tc>
          <w:tcPr>
            <w:tcW w:type="dxa" w:w="1020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μ_T</w:t>
            </w:r>
          </w:p>
        </w:tc>
        <w:tc>
          <w:tcPr>
            <w:tcW w:type="dxa" w:w="1020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σ_T</w:t>
            </w:r>
          </w:p>
        </w:tc>
        <w:tc>
          <w:tcPr>
            <w:tcW w:type="dxa" w:w="1020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μ_O</w:t>
            </w:r>
          </w:p>
        </w:tc>
        <w:tc>
          <w:tcPr>
            <w:tcW w:type="dxa" w:w="1020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σ_O</w:t>
            </w:r>
          </w:p>
        </w:tc>
        <w:tc>
          <w:tcPr>
            <w:tcW w:type="dxa" w:w="3402"/>
            <w:shd w:fill="1F4E79"/>
          </w:tcPr>
          <w:p>
            <w:r>
              <w:rPr>
                <w:rFonts w:ascii="Atkinson Hyperlegible Next" w:hAnsi="Atkinson Hyperlegible Next" w:cs="Atkinson Hyperlegible Next" w:eastAsia="Atkinson Hyperlegible Next"/>
                <w:b/>
                <w:color w:val="FFFFFF"/>
              </w:rPr>
              <w:t>Zona</w:t>
            </w:r>
          </w:p>
        </w:tc>
      </w:tr>
      <w:tr>
        <w:tc>
          <w:tcPr>
            <w:tcW w:type="dxa" w:w="85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R1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+0.93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0.22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+0.89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0.85</w:t>
            </w:r>
          </w:p>
        </w:tc>
        <w:tc>
          <w:tcPr>
            <w:tcW w:type="dxa" w:w="3402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T alta, O alta</w:t>
            </w:r>
          </w:p>
        </w:tc>
      </w:tr>
      <w:tr>
        <w:tc>
          <w:tcPr>
            <w:tcW w:type="dxa" w:w="85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R2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+0.04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0.35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+0.95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0.80</w:t>
            </w:r>
          </w:p>
        </w:tc>
        <w:tc>
          <w:tcPr>
            <w:tcW w:type="dxa" w:w="3402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T baja, O alta</w:t>
            </w:r>
          </w:p>
        </w:tc>
      </w:tr>
      <w:tr>
        <w:tc>
          <w:tcPr>
            <w:tcW w:type="dxa" w:w="85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R3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+0.58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0.15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+0.55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T media, O media</w:t>
            </w:r>
          </w:p>
        </w:tc>
      </w:tr>
      <w:tr>
        <w:tc>
          <w:tcPr>
            <w:tcW w:type="dxa" w:w="85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R4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-0.01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0.33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+0.40</w:t>
            </w:r>
          </w:p>
        </w:tc>
        <w:tc>
          <w:tcPr>
            <w:tcW w:type="dxa" w:w="1020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0.56</w:t>
            </w:r>
          </w:p>
        </w:tc>
        <w:tc>
          <w:tcPr>
            <w:tcW w:type="dxa" w:w="3402"/>
          </w:tcPr>
          <w:p>
            <w:r>
              <w:rPr>
                <w:rFonts w:ascii="Atkinson Hyperlegible Next" w:hAnsi="Atkinson Hyperlegible Next" w:cs="Atkinson Hyperlegible Next" w:eastAsia="Atkinson Hyperlegible Next"/>
              </w:rPr>
              <w:t>T baja, O baja</w:t>
            </w:r>
          </w:p>
        </w:tc>
      </w:tr>
    </w:tbl>
    <w:p/>
    <w:p>
      <w:r>
        <w:rPr>
          <w:rFonts w:ascii="Atkinson Hyperlegible Next" w:hAnsi="Atkinson Hyperlegible Next" w:cs="Atkinson Hyperlegible Next" w:eastAsia="Atkinson Hyperlegible Next"/>
          <w:b/>
        </w:rPr>
        <w:t>R3</w:t>
      </w:r>
      <w:r>
        <w:rPr>
          <w:rFonts w:ascii="Atkinson Hyperlegible Next" w:hAnsi="Atkinson Hyperlegible Next" w:cs="Atkinson Hyperlegible Next" w:eastAsia="Atkinson Hyperlegible Next"/>
        </w:rPr>
        <w:t xml:space="preserve"> es la regla del confort: μ ≈ (0.6, 0.55), casi exactamente el óptimo del experto. Sus σ son las más pequeñas, o sea, es la regla más selectiva.</w:t>
      </w:r>
    </w:p>
    <w:p>
      <w:r>
        <w:rPr>
          <w:rFonts w:ascii="Atkinson Hyperlegible Next" w:hAnsi="Atkinson Hyperlegible Next" w:cs="Atkinson Hyperlegible Next" w:eastAsia="Atkinson Hyperlegible Next"/>
          <w:b/>
        </w:rPr>
        <w:t>R2</w:t>
      </w:r>
      <w:r>
        <w:rPr>
          <w:rFonts w:ascii="Atkinson Hyperlegible Next" w:hAnsi="Atkinson Hyperlegible Next" w:cs="Atkinson Hyperlegible Next" w:eastAsia="Atkinson Hyperlegible Next"/>
        </w:rPr>
        <w:t xml:space="preserve"> tiene σ grandes, así que cubre mucho espacio. Funciona como regla de fondo en zonas donde las otras se apagan.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6. Experimento D: mapa de confort 2D</w:t>
      </w:r>
    </w:p>
    <w:p>
      <w:r>
        <w:rPr>
          <w:rFonts w:ascii="Atkinson Hyperlegible Next" w:hAnsi="Atkinson Hyperlegible Next" w:cs="Atkinson Hyperlegible Next" w:eastAsia="Atkinson Hyperlegible Next"/>
        </w:rPr>
        <w:drawing>
          <wp:inline xmlns:a="http://schemas.openxmlformats.org/drawingml/2006/main" xmlns:pic="http://schemas.openxmlformats.org/drawingml/2006/picture">
            <wp:extent cx="5760000" cy="2356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D_mapa_conf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tkinson Hyperlegible Next" w:hAnsi="Atkinson Hyperlegible Next" w:cs="Atkinson Hyperlegible Next" w:eastAsia="Atkinson Hyperlegible Next"/>
        </w:rPr>
        <w:t>El mapa aprendido reproduce el criterio teórico: zona caliente cerca de (0.6, 0.55) y bajo confort en las esquinas.</w:t>
      </w:r>
    </w:p>
    <w:p>
      <w:pPr>
        <w:pStyle w:val="Heading2"/>
      </w:pPr>
      <w:r>
        <w:rPr>
          <w:rFonts w:ascii="Atkinson Hyperlegible Next" w:hAnsi="Atkinson Hyperlegible Next" w:cs="Atkinson Hyperlegible Next" w:eastAsia="Atkinson Hyperlegible Next"/>
          <w:color w:val="1F4E79"/>
        </w:rPr>
        <w:t>7. Conclusión</w:t>
      </w:r>
    </w:p>
    <w:p>
      <w:r>
        <w:rPr>
          <w:rFonts w:ascii="Atkinson Hyperlegible Next" w:hAnsi="Atkinson Hyperlegible Next" w:cs="Atkinson Hyperlegible Next" w:eastAsia="Atkinson Hyperlegible Next"/>
        </w:rPr>
        <w:t>ANFIS sirve para este problema: con 4 reglas saco R² = 0.96. La ventaja frente a una red neuronal pura es que las reglas se pueden leer (cada μ y σ tiene un significado físico) y que funciona con pocos datos. El inconveniente es que no escala bien con muchas variables, porque la fuerza de disparo es producto de membresías y se va a cero. Tampoco va bien con problemas no convexos.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kinson Hyperlegible Next" w:hAnsi="Atkinson Hyperlegible Next" w:cs="Atkinson Hyperlegible Next" w:eastAsia="Atkinson Hyperlegible N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tkinson Hyperlegible Next" w:hAnsi="Atkinson Hyperlegible Next" w:cs="Atkinson Hyperlegible Next" w:eastAsia="Atkinson Hyperlegible Next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tkinson Hyperlegible Next" w:hAnsi="Atkinson Hyperlegible Next" w:cs="Atkinson Hyperlegible Next" w:eastAsia="Atkinson Hyperlegible Next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tkinson Hyperlegible Next" w:hAnsi="Atkinson Hyperlegible Next" w:cs="Atkinson Hyperlegible Next" w:eastAsia="Atkinson Hyperlegible Next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