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tkinson Hyperlegible Next" w:hAnsi="Atkinson Hyperlegible Next" w:cs="Atkinson Hyperlegible Next" w:eastAsia="Atkinson Hyperlegible Next"/>
          <w:color w:val="1F4E79"/>
        </w:rPr>
        <w:t>Práctica 3, Ejercicio 2</w:t>
      </w:r>
    </w:p>
    <w:p>
      <w:pPr>
        <w:pStyle w:val="Heading2"/>
      </w:pPr>
      <w:r>
        <w:rPr>
          <w:rFonts w:ascii="Atkinson Hyperlegible Next" w:hAnsi="Atkinson Hyperlegible Next" w:cs="Atkinson Hyperlegible Next" w:eastAsia="Atkinson Hyperlegible Next"/>
          <w:color w:val="1F4E79"/>
        </w:rPr>
        <w:t>Sistema de riego adaptativo</w:t>
      </w:r>
    </w:p>
    <w:p>
      <w:pPr>
        <w:pStyle w:val="Heading2"/>
      </w:pPr>
      <w:r>
        <w:rPr>
          <w:rFonts w:ascii="Atkinson Hyperlegible Next" w:hAnsi="Atkinson Hyperlegible Next" w:cs="Atkinson Hyperlegible Next" w:eastAsia="Atkinson Hyperlegible Next"/>
          <w:color w:val="1F4E79"/>
        </w:rPr>
        <w:t>1. Problema</w:t>
      </w:r>
    </w:p>
    <w:p>
      <w:r>
        <w:rPr>
          <w:rFonts w:ascii="Atkinson Hyperlegible Next" w:hAnsi="Atkinson Hyperlegible Next" w:cs="Atkinson Hyperlegible Next" w:eastAsia="Atkinson Hyperlegible Next"/>
        </w:rPr>
        <w:t>AgroSmart Levante quiere recomendar la dosis de riego (en mm/día) a partir de tres sensores: humedad del suelo H, temperatura máxima T y precipitación P. Las tres están normalizadas a [0, 1] y la salida también. Uso ANFIS con 3 entradas y la versión robusta del modelo (con clamp en σ).</w:t>
      </w:r>
    </w:p>
    <w:p>
      <w:pPr>
        <w:pStyle w:val="Heading2"/>
      </w:pPr>
      <w:r>
        <w:rPr>
          <w:rFonts w:ascii="Atkinson Hyperlegible Next" w:hAnsi="Atkinson Hyperlegible Next" w:cs="Atkinson Hyperlegible Next" w:eastAsia="Atkinson Hyperlegible Next"/>
          <w:color w:val="1F4E79"/>
        </w:rPr>
        <w:t>2. Función objetivo</w:t>
      </w:r>
    </w:p>
    <w:p>
      <w:r>
        <w:rPr>
          <w:rFonts w:ascii="Atkinson Hyperlegible Next" w:hAnsi="Atkinson Hyperlegible Next" w:cs="Atkinson Hyperlegible Next" w:eastAsia="Atkinson Hyperlegible Next"/>
        </w:rPr>
        <w:t>Los valores con «?» del enunciado los relleno así:</w:t>
      </w:r>
    </w:p>
    <w:p>
      <w:r>
        <w:rPr>
          <w:rFonts w:ascii="Courier New" w:hAnsi="Courier New" w:cs="Courier New" w:eastAsia="Courier New"/>
          <w:sz w:val="18"/>
        </w:rPr>
        <w:t>efecto_lluvia  = exp(-((P - 1.0)^2 / 0.30))</w:t>
        <w:br/>
        <w:t>efecto_humedad = exp(-((H - 1.0)^2 / 0.30))</w:t>
        <w:br/>
        <w:t>efecto_calor   = exp(-((T - 1.0)^2 / 0.20))</w:t>
      </w:r>
    </w:p>
    <w:p>
      <w:r>
        <w:rPr>
          <w:rFonts w:ascii="Atkinson Hyperlegible Next" w:hAnsi="Atkinson Hyperlegible Next" w:cs="Atkinson Hyperlegible Next" w:eastAsia="Atkinson Hyperlegible Next"/>
        </w:rPr>
        <w:t>Centro las tres en 1.0 porque cada efecto es un indicador de «extremo activo» (lluvia fuerte, suelo saturado, calor). Multiplicar por (1 − efecto) reproduce los vetos del agrónomo: si llueve o el suelo está saturado, la dosis se anula. σ_T más estrecha (0.20) porque el calor solo cuenta cuando T &gt; 0.6.</w:t>
      </w:r>
    </w:p>
    <w:tbl>
      <w:tblPr>
        <w:tblStyle w:val="LightGrid-Accent1"/>
        <w:tblW w:type="auto" w:w="0"/>
        <w:tblLook w:firstColumn="1" w:firstRow="1" w:lastColumn="0" w:lastRow="0" w:noHBand="0" w:noVBand="1" w:val="04A0"/>
      </w:tblPr>
      <w:tblGrid>
        <w:gridCol w:w="3324"/>
        <w:gridCol w:w="3324"/>
        <w:gridCol w:w="3324"/>
      </w:tblGrid>
      <w:tr>
        <w:tc>
          <w:tcPr>
            <w:tcW w:type="dxa" w:w="1701"/>
            <w:shd w:fill="1F4E79"/>
          </w:tcPr>
          <w:p>
            <w:r>
              <w:rPr>
                <w:rFonts w:ascii="Atkinson Hyperlegible Next" w:hAnsi="Atkinson Hyperlegible Next" w:cs="Atkinson Hyperlegible Next" w:eastAsia="Atkinson Hyperlegible Next"/>
                <w:b/>
                <w:color w:val="FFFFFF"/>
              </w:rPr>
              <w:t>Parámetro</w:t>
            </w:r>
          </w:p>
        </w:tc>
        <w:tc>
          <w:tcPr>
            <w:tcW w:type="dxa" w:w="2268"/>
            <w:shd w:fill="1F4E79"/>
          </w:tcPr>
          <w:p>
            <w:r>
              <w:rPr>
                <w:rFonts w:ascii="Atkinson Hyperlegible Next" w:hAnsi="Atkinson Hyperlegible Next" w:cs="Atkinson Hyperlegible Next" w:eastAsia="Atkinson Hyperlegible Next"/>
                <w:b/>
                <w:color w:val="FFFFFF"/>
              </w:rPr>
              <w:t>Valor</w:t>
            </w:r>
          </w:p>
        </w:tc>
        <w:tc>
          <w:tcPr>
            <w:tcW w:type="dxa" w:w="5102"/>
            <w:shd w:fill="1F4E79"/>
          </w:tcPr>
          <w:p>
            <w:r>
              <w:rPr>
                <w:rFonts w:ascii="Atkinson Hyperlegible Next" w:hAnsi="Atkinson Hyperlegible Next" w:cs="Atkinson Hyperlegible Next" w:eastAsia="Atkinson Hyperlegible Next"/>
                <w:b/>
                <w:color w:val="FFFFFF"/>
              </w:rPr>
              <w:t>Justificación</w:t>
            </w:r>
          </w:p>
        </w:tc>
      </w:tr>
      <w:tr>
        <w:tc>
          <w:tcPr>
            <w:tcW w:type="dxa" w:w="1701"/>
          </w:tcPr>
          <w:p>
            <w:r>
              <w:rPr>
                <w:rFonts w:ascii="Atkinson Hyperlegible Next" w:hAnsi="Atkinson Hyperlegible Next" w:cs="Atkinson Hyperlegible Next" w:eastAsia="Atkinson Hyperlegible Next"/>
              </w:rPr>
              <w:t>n_rules</w:t>
            </w:r>
          </w:p>
        </w:tc>
        <w:tc>
          <w:tcPr>
            <w:tcW w:type="dxa" w:w="2268"/>
          </w:tcPr>
          <w:p>
            <w:r>
              <w:rPr>
                <w:rFonts w:ascii="Atkinson Hyperlegible Next" w:hAnsi="Atkinson Hyperlegible Next" w:cs="Atkinson Hyperlegible Next" w:eastAsia="Atkinson Hyperlegible Next"/>
              </w:rPr>
              <w:t>8</w:t>
            </w:r>
          </w:p>
        </w:tc>
        <w:tc>
          <w:tcPr>
            <w:tcW w:type="dxa" w:w="5102"/>
          </w:tcPr>
          <w:p>
            <w:r>
              <w:rPr>
                <w:rFonts w:ascii="Atkinson Hyperlegible Next" w:hAnsi="Atkinson Hyperlegible Next" w:cs="Atkinson Hyperlegible Next" w:eastAsia="Atkinson Hyperlegible Next"/>
              </w:rPr>
              <w:t>Mejor RMSE en el experimento A.</w:t>
            </w:r>
          </w:p>
        </w:tc>
      </w:tr>
      <w:tr>
        <w:tc>
          <w:tcPr>
            <w:tcW w:type="dxa" w:w="1701"/>
          </w:tcPr>
          <w:p>
            <w:r>
              <w:rPr>
                <w:rFonts w:ascii="Atkinson Hyperlegible Next" w:hAnsi="Atkinson Hyperlegible Next" w:cs="Atkinson Hyperlegible Next" w:eastAsia="Atkinson Hyperlegible Next"/>
              </w:rPr>
              <w:t>n_epochs</w:t>
            </w:r>
          </w:p>
        </w:tc>
        <w:tc>
          <w:tcPr>
            <w:tcW w:type="dxa" w:w="2268"/>
          </w:tcPr>
          <w:p>
            <w:r>
              <w:rPr>
                <w:rFonts w:ascii="Atkinson Hyperlegible Next" w:hAnsi="Atkinson Hyperlegible Next" w:cs="Atkinson Hyperlegible Next" w:eastAsia="Atkinson Hyperlegible Next"/>
              </w:rPr>
              <w:t>1000</w:t>
            </w:r>
          </w:p>
        </w:tc>
        <w:tc>
          <w:tcPr>
            <w:tcW w:type="dxa" w:w="5102"/>
          </w:tcPr>
          <w:p>
            <w:r>
              <w:rPr>
                <w:rFonts w:ascii="Atkinson Hyperlegible Next" w:hAnsi="Atkinson Hyperlegible Next" w:cs="Atkinson Hyperlegible Next" w:eastAsia="Atkinson Hyperlegible Next"/>
              </w:rPr>
              <w:t>Estabiliza por la época 200.</w:t>
            </w:r>
          </w:p>
        </w:tc>
      </w:tr>
      <w:tr>
        <w:tc>
          <w:tcPr>
            <w:tcW w:type="dxa" w:w="1701"/>
          </w:tcPr>
          <w:p>
            <w:r>
              <w:rPr>
                <w:rFonts w:ascii="Atkinson Hyperlegible Next" w:hAnsi="Atkinson Hyperlegible Next" w:cs="Atkinson Hyperlegible Next" w:eastAsia="Atkinson Hyperlegible Next"/>
              </w:rPr>
              <w:t>lr</w:t>
            </w:r>
          </w:p>
        </w:tc>
        <w:tc>
          <w:tcPr>
            <w:tcW w:type="dxa" w:w="2268"/>
          </w:tcPr>
          <w:p>
            <w:r>
              <w:rPr>
                <w:rFonts w:ascii="Atkinson Hyperlegible Next" w:hAnsi="Atkinson Hyperlegible Next" w:cs="Atkinson Hyperlegible Next" w:eastAsia="Atkinson Hyperlegible Next"/>
              </w:rPr>
              <w:t>0.005</w:t>
            </w:r>
          </w:p>
        </w:tc>
        <w:tc>
          <w:tcPr>
            <w:tcW w:type="dxa" w:w="5102"/>
          </w:tcPr>
          <w:p>
            <w:r>
              <w:rPr>
                <w:rFonts w:ascii="Atkinson Hyperlegible Next" w:hAnsi="Atkinson Hyperlegible Next" w:cs="Atkinson Hyperlegible Next" w:eastAsia="Atkinson Hyperlegible Next"/>
              </w:rPr>
              <w:t>Más bajo que en el Ej.1 (3 factores en el producto).</w:t>
            </w:r>
          </w:p>
        </w:tc>
      </w:tr>
      <w:tr>
        <w:tc>
          <w:tcPr>
            <w:tcW w:type="dxa" w:w="1701"/>
          </w:tcPr>
          <w:p>
            <w:r>
              <w:rPr>
                <w:rFonts w:ascii="Atkinson Hyperlegible Next" w:hAnsi="Atkinson Hyperlegible Next" w:cs="Atkinson Hyperlegible Next" w:eastAsia="Atkinson Hyperlegible Next"/>
              </w:rPr>
              <w:t>weight_decay</w:t>
            </w:r>
          </w:p>
        </w:tc>
        <w:tc>
          <w:tcPr>
            <w:tcW w:type="dxa" w:w="2268"/>
          </w:tcPr>
          <w:p>
            <w:r>
              <w:rPr>
                <w:rFonts w:ascii="Atkinson Hyperlegible Next" w:hAnsi="Atkinson Hyperlegible Next" w:cs="Atkinson Hyperlegible Next" w:eastAsia="Atkinson Hyperlegible Next"/>
              </w:rPr>
              <w:t>0.0001</w:t>
            </w:r>
          </w:p>
        </w:tc>
        <w:tc>
          <w:tcPr>
            <w:tcW w:type="dxa" w:w="5102"/>
          </w:tcPr>
          <w:p>
            <w:r>
              <w:rPr>
                <w:rFonts w:ascii="Atkinson Hyperlegible Next" w:hAnsi="Atkinson Hyperlegible Next" w:cs="Atkinson Hyperlegible Next" w:eastAsia="Atkinson Hyperlegible Next"/>
              </w:rPr>
              <w:t>Regularización L2 obligatoria.</w:t>
            </w:r>
          </w:p>
        </w:tc>
      </w:tr>
      <w:tr>
        <w:tc>
          <w:tcPr>
            <w:tcW w:type="dxa" w:w="1701"/>
          </w:tcPr>
          <w:p>
            <w:r>
              <w:rPr>
                <w:rFonts w:ascii="Atkinson Hyperlegible Next" w:hAnsi="Atkinson Hyperlegible Next" w:cs="Atkinson Hyperlegible Next" w:eastAsia="Atkinson Hyperlegible Next"/>
              </w:rPr>
              <w:t>Init μ</w:t>
            </w:r>
          </w:p>
        </w:tc>
        <w:tc>
          <w:tcPr>
            <w:tcW w:type="dxa" w:w="2268"/>
          </w:tcPr>
          <w:p>
            <w:r>
              <w:rPr>
                <w:rFonts w:ascii="Atkinson Hyperlegible Next" w:hAnsi="Atkinson Hyperlegible Next" w:cs="Atkinson Hyperlegible Next" w:eastAsia="Atkinson Hyperlegible Next"/>
              </w:rPr>
              <w:t>K-means</w:t>
            </w:r>
          </w:p>
        </w:tc>
        <w:tc>
          <w:tcPr>
            <w:tcW w:type="dxa" w:w="5102"/>
          </w:tcPr>
          <w:p>
            <w:r>
              <w:rPr>
                <w:rFonts w:ascii="Atkinson Hyperlegible Next" w:hAnsi="Atkinson Hyperlegible Next" w:cs="Atkinson Hyperlegible Next" w:eastAsia="Atkinson Hyperlegible Next"/>
              </w:rPr>
              <w:t>Obligatorio con 3 entradas.</w:t>
            </w:r>
          </w:p>
        </w:tc>
      </w:tr>
      <w:tr>
        <w:tc>
          <w:tcPr>
            <w:tcW w:type="dxa" w:w="1701"/>
          </w:tcPr>
          <w:p>
            <w:r>
              <w:rPr>
                <w:rFonts w:ascii="Atkinson Hyperlegible Next" w:hAnsi="Atkinson Hyperlegible Next" w:cs="Atkinson Hyperlegible Next" w:eastAsia="Atkinson Hyperlegible Next"/>
              </w:rPr>
              <w:t>Forward</w:t>
            </w:r>
          </w:p>
        </w:tc>
        <w:tc>
          <w:tcPr>
            <w:tcW w:type="dxa" w:w="2268"/>
          </w:tcPr>
          <w:p>
            <w:r>
              <w:rPr>
                <w:rFonts w:ascii="Atkinson Hyperlegible Next" w:hAnsi="Atkinson Hyperlegible Next" w:cs="Atkinson Hyperlegible Next" w:eastAsia="Atkinson Hyperlegible Next"/>
              </w:rPr>
              <w:t>torch.clamp(σ, min=1e-3)</w:t>
            </w:r>
          </w:p>
        </w:tc>
        <w:tc>
          <w:tcPr>
            <w:tcW w:type="dxa" w:w="5102"/>
          </w:tcPr>
          <w:p>
            <w:r>
              <w:rPr>
                <w:rFonts w:ascii="Atkinson Hyperlegible Next" w:hAnsi="Atkinson Hyperlegible Next" w:cs="Atkinson Hyperlegible Next" w:eastAsia="Atkinson Hyperlegible Next"/>
              </w:rPr>
              <w:t>Modificación obligatoria, evita que las gaussianas colapsen.</w:t>
            </w:r>
          </w:p>
        </w:tc>
      </w:tr>
    </w:tbl>
    <w:p/>
    <w:p>
      <w:pPr>
        <w:pStyle w:val="Heading2"/>
      </w:pPr>
      <w:r>
        <w:rPr>
          <w:rFonts w:ascii="Atkinson Hyperlegible Next" w:hAnsi="Atkinson Hyperlegible Next" w:cs="Atkinson Hyperlegible Next" w:eastAsia="Atkinson Hyperlegible Next"/>
          <w:color w:val="1F4E79"/>
        </w:rPr>
        <w:t>3. Por qué hace falta ANFISLayerRobust</w:t>
      </w:r>
    </w:p>
    <w:p>
      <w:r>
        <w:rPr>
          <w:rFonts w:ascii="Atkinson Hyperlegible Next" w:hAnsi="Atkinson Hyperlegible Next" w:cs="Atkinson Hyperlegible Next" w:eastAsia="Atkinson Hyperlegible Next"/>
        </w:rPr>
        <w:t>Con 3 entradas, w = μ_A · μ_B · μ_C. Si σ se acerca a 0, la gaussiana se hace un pico estrecho y w se va a 0 para casi todas las muestras. Entonces el denominador de la normalización también es 0 y los gradientes salen NaN: el modelo deja de entrenar. El clamp obliga a σ ≥ 1e-3, así que la gaussiana siempre tiene un soporte mínimo.</w:t>
      </w:r>
    </w:p>
    <w:p>
      <w:pPr>
        <w:pStyle w:val="Heading2"/>
      </w:pPr>
      <w:r>
        <w:rPr>
          <w:rFonts w:ascii="Atkinson Hyperlegible Next" w:hAnsi="Atkinson Hyperlegible Next" w:cs="Atkinson Hyperlegible Next" w:eastAsia="Atkinson Hyperlegible Next"/>
          <w:color w:val="1F4E79"/>
        </w:rPr>
        <w:t>4. Experimento A: distintos n_rules</w:t>
      </w:r>
    </w:p>
    <w:tbl>
      <w:tblPr>
        <w:tblStyle w:val="LightGrid-Accent1"/>
        <w:tblW w:type="auto" w:w="0"/>
        <w:tblLook w:firstColumn="1" w:firstRow="1" w:lastColumn="0" w:lastRow="0" w:noHBand="0" w:noVBand="1" w:val="04A0"/>
      </w:tblPr>
      <w:tblGrid>
        <w:gridCol w:w="2493"/>
        <w:gridCol w:w="2493"/>
        <w:gridCol w:w="2493"/>
        <w:gridCol w:w="2493"/>
      </w:tblGrid>
      <w:tr>
        <w:tc>
          <w:tcPr>
            <w:tcW w:type="dxa" w:w="1134"/>
            <w:shd w:fill="1F4E79"/>
          </w:tcPr>
          <w:p>
            <w:r>
              <w:rPr>
                <w:rFonts w:ascii="Atkinson Hyperlegible Next" w:hAnsi="Atkinson Hyperlegible Next" w:cs="Atkinson Hyperlegible Next" w:eastAsia="Atkinson Hyperlegible Next"/>
                <w:b/>
                <w:color w:val="FFFFFF"/>
              </w:rPr>
              <w:t>n_rules</w:t>
            </w:r>
          </w:p>
        </w:tc>
        <w:tc>
          <w:tcPr>
            <w:tcW w:type="dxa" w:w="2268"/>
            <w:shd w:fill="1F4E79"/>
          </w:tcPr>
          <w:p>
            <w:r>
              <w:rPr>
                <w:rFonts w:ascii="Atkinson Hyperlegible Next" w:hAnsi="Atkinson Hyperlegible Next" w:cs="Atkinson Hyperlegible Next" w:eastAsia="Atkinson Hyperlegible Next"/>
                <w:b/>
                <w:color w:val="FFFFFF"/>
              </w:rPr>
              <w:t>Parámetros</w:t>
            </w:r>
          </w:p>
        </w:tc>
        <w:tc>
          <w:tcPr>
            <w:tcW w:type="dxa" w:w="2268"/>
            <w:shd w:fill="1F4E79"/>
          </w:tcPr>
          <w:p>
            <w:r>
              <w:rPr>
                <w:rFonts w:ascii="Atkinson Hyperlegible Next" w:hAnsi="Atkinson Hyperlegible Next" w:cs="Atkinson Hyperlegible Next" w:eastAsia="Atkinson Hyperlegible Next"/>
                <w:b/>
                <w:color w:val="FFFFFF"/>
              </w:rPr>
              <w:t>RMSE (test)</w:t>
            </w:r>
          </w:p>
        </w:tc>
        <w:tc>
          <w:tcPr>
            <w:tcW w:type="dxa" w:w="2268"/>
            <w:shd w:fill="1F4E79"/>
          </w:tcPr>
          <w:p>
            <w:r>
              <w:rPr>
                <w:rFonts w:ascii="Atkinson Hyperlegible Next" w:hAnsi="Atkinson Hyperlegible Next" w:cs="Atkinson Hyperlegible Next" w:eastAsia="Atkinson Hyperlegible Next"/>
                <w:b/>
                <w:color w:val="FFFFFF"/>
              </w:rPr>
              <w:t>R² (test)</w:t>
            </w:r>
          </w:p>
        </w:tc>
      </w:tr>
      <w:tr>
        <w:tc>
          <w:tcPr>
            <w:tcW w:type="dxa" w:w="1134"/>
          </w:tcPr>
          <w:p>
            <w:r>
              <w:rPr>
                <w:rFonts w:ascii="Atkinson Hyperlegible Next" w:hAnsi="Atkinson Hyperlegible Next" w:cs="Atkinson Hyperlegible Next" w:eastAsia="Atkinson Hyperlegible Next"/>
              </w:rPr>
              <w:t>3</w:t>
            </w:r>
          </w:p>
        </w:tc>
        <w:tc>
          <w:tcPr>
            <w:tcW w:type="dxa" w:w="2268"/>
          </w:tcPr>
          <w:p>
            <w:r>
              <w:rPr>
                <w:rFonts w:ascii="Atkinson Hyperlegible Next" w:hAnsi="Atkinson Hyperlegible Next" w:cs="Atkinson Hyperlegible Next" w:eastAsia="Atkinson Hyperlegible Next"/>
              </w:rPr>
              <w:t>30</w:t>
            </w:r>
          </w:p>
        </w:tc>
        <w:tc>
          <w:tcPr>
            <w:tcW w:type="dxa" w:w="2268"/>
          </w:tcPr>
          <w:p>
            <w:r>
              <w:rPr>
                <w:rFonts w:ascii="Atkinson Hyperlegible Next" w:hAnsi="Atkinson Hyperlegible Next" w:cs="Atkinson Hyperlegible Next" w:eastAsia="Atkinson Hyperlegible Next"/>
              </w:rPr>
              <w:t>0.0348</w:t>
            </w:r>
          </w:p>
        </w:tc>
        <w:tc>
          <w:tcPr>
            <w:tcW w:type="dxa" w:w="2268"/>
          </w:tcPr>
          <w:p>
            <w:r>
              <w:rPr>
                <w:rFonts w:ascii="Atkinson Hyperlegible Next" w:hAnsi="Atkinson Hyperlegible Next" w:cs="Atkinson Hyperlegible Next" w:eastAsia="Atkinson Hyperlegible Next"/>
              </w:rPr>
              <w:t>0.9736</w:t>
            </w:r>
          </w:p>
        </w:tc>
      </w:tr>
      <w:tr>
        <w:tc>
          <w:tcPr>
            <w:tcW w:type="dxa" w:w="1134"/>
          </w:tcPr>
          <w:p>
            <w:r>
              <w:rPr>
                <w:rFonts w:ascii="Atkinson Hyperlegible Next" w:hAnsi="Atkinson Hyperlegible Next" w:cs="Atkinson Hyperlegible Next" w:eastAsia="Atkinson Hyperlegible Next"/>
              </w:rPr>
              <w:t>5</w:t>
            </w:r>
          </w:p>
        </w:tc>
        <w:tc>
          <w:tcPr>
            <w:tcW w:type="dxa" w:w="2268"/>
          </w:tcPr>
          <w:p>
            <w:r>
              <w:rPr>
                <w:rFonts w:ascii="Atkinson Hyperlegible Next" w:hAnsi="Atkinson Hyperlegible Next" w:cs="Atkinson Hyperlegible Next" w:eastAsia="Atkinson Hyperlegible Next"/>
              </w:rPr>
              <w:t>50</w:t>
            </w:r>
          </w:p>
        </w:tc>
        <w:tc>
          <w:tcPr>
            <w:tcW w:type="dxa" w:w="2268"/>
          </w:tcPr>
          <w:p>
            <w:r>
              <w:rPr>
                <w:rFonts w:ascii="Atkinson Hyperlegible Next" w:hAnsi="Atkinson Hyperlegible Next" w:cs="Atkinson Hyperlegible Next" w:eastAsia="Atkinson Hyperlegible Next"/>
              </w:rPr>
              <w:t>0.0338</w:t>
            </w:r>
          </w:p>
        </w:tc>
        <w:tc>
          <w:tcPr>
            <w:tcW w:type="dxa" w:w="2268"/>
          </w:tcPr>
          <w:p>
            <w:r>
              <w:rPr>
                <w:rFonts w:ascii="Atkinson Hyperlegible Next" w:hAnsi="Atkinson Hyperlegible Next" w:cs="Atkinson Hyperlegible Next" w:eastAsia="Atkinson Hyperlegible Next"/>
              </w:rPr>
              <w:t>0.9751</w:t>
            </w:r>
          </w:p>
        </w:tc>
      </w:tr>
      <w:tr>
        <w:tc>
          <w:tcPr>
            <w:tcW w:type="dxa" w:w="1134"/>
          </w:tcPr>
          <w:p>
            <w:r>
              <w:rPr>
                <w:rFonts w:ascii="Atkinson Hyperlegible Next" w:hAnsi="Atkinson Hyperlegible Next" w:cs="Atkinson Hyperlegible Next" w:eastAsia="Atkinson Hyperlegible Next"/>
              </w:rPr>
              <w:t>8</w:t>
            </w:r>
          </w:p>
        </w:tc>
        <w:tc>
          <w:tcPr>
            <w:tcW w:type="dxa" w:w="2268"/>
          </w:tcPr>
          <w:p>
            <w:r>
              <w:rPr>
                <w:rFonts w:ascii="Atkinson Hyperlegible Next" w:hAnsi="Atkinson Hyperlegible Next" w:cs="Atkinson Hyperlegible Next" w:eastAsia="Atkinson Hyperlegible Next"/>
              </w:rPr>
              <w:t>80</w:t>
            </w:r>
          </w:p>
        </w:tc>
        <w:tc>
          <w:tcPr>
            <w:tcW w:type="dxa" w:w="2268"/>
          </w:tcPr>
          <w:p>
            <w:r>
              <w:rPr>
                <w:rFonts w:ascii="Atkinson Hyperlegible Next" w:hAnsi="Atkinson Hyperlegible Next" w:cs="Atkinson Hyperlegible Next" w:eastAsia="Atkinson Hyperlegible Next"/>
              </w:rPr>
              <w:t>0.0308</w:t>
            </w:r>
          </w:p>
        </w:tc>
        <w:tc>
          <w:tcPr>
            <w:tcW w:type="dxa" w:w="2268"/>
          </w:tcPr>
          <w:p>
            <w:r>
              <w:rPr>
                <w:rFonts w:ascii="Atkinson Hyperlegible Next" w:hAnsi="Atkinson Hyperlegible Next" w:cs="Atkinson Hyperlegible Next" w:eastAsia="Atkinson Hyperlegible Next"/>
              </w:rPr>
              <w:t>0.9793</w:t>
            </w:r>
          </w:p>
        </w:tc>
      </w:tr>
    </w:tbl>
    <w:p/>
    <w:p>
      <w:r>
        <w:rPr>
          <w:rFonts w:ascii="Atkinson Hyperlegible Next" w:hAnsi="Atkinson Hyperlegible Next" w:cs="Atkinson Hyperlegible Next" w:eastAsia="Atkinson Hyperlegible Next"/>
        </w:rPr>
        <w:drawing>
          <wp:inline xmlns:a="http://schemas.openxmlformats.org/drawingml/2006/main" xmlns:pic="http://schemas.openxmlformats.org/drawingml/2006/picture">
            <wp:extent cx="5400000" cy="2700000"/>
            <wp:docPr id="1" name="Picture 1"/>
            <wp:cNvGraphicFramePr>
              <a:graphicFrameLocks noChangeAspect="1"/>
            </wp:cNvGraphicFramePr>
            <a:graphic>
              <a:graphicData uri="http://schemas.openxmlformats.org/drawingml/2006/picture">
                <pic:pic>
                  <pic:nvPicPr>
                    <pic:cNvPr id="0" name="expA_n_rules.png"/>
                    <pic:cNvPicPr/>
                  </pic:nvPicPr>
                  <pic:blipFill>
                    <a:blip r:embed="rId9"/>
                    <a:stretch>
                      <a:fillRect/>
                    </a:stretch>
                  </pic:blipFill>
                  <pic:spPr>
                    <a:xfrm>
                      <a:off x="0" y="0"/>
                      <a:ext cx="5400000" cy="2700000"/>
                    </a:xfrm>
                    <a:prstGeom prst="rect"/>
                  </pic:spPr>
                </pic:pic>
              </a:graphicData>
            </a:graphic>
          </wp:inline>
        </w:drawing>
      </w:r>
    </w:p>
    <w:p>
      <w:r>
        <w:rPr>
          <w:rFonts w:ascii="Atkinson Hyperlegible Next" w:hAnsi="Atkinson Hyperlegible Next" w:cs="Atkinson Hyperlegible Next" w:eastAsia="Atkinson Hyperlegible Next"/>
        </w:rPr>
        <w:t>Me quedo con n_rules = 8 (RMSE = 0.0308). Con 3 se queda corto y con 5 va competitivo, pero 8 mejora un poco más sin sobreajustarse.</w:t>
      </w:r>
    </w:p>
    <w:p>
      <w:pPr>
        <w:pStyle w:val="Heading2"/>
      </w:pPr>
      <w:r>
        <w:rPr>
          <w:rFonts w:ascii="Atkinson Hyperlegible Next" w:hAnsi="Atkinson Hyperlegible Next" w:cs="Atkinson Hyperlegible Next" w:eastAsia="Atkinson Hyperlegible Next"/>
          <w:color w:val="1F4E79"/>
        </w:rPr>
        <w:t>5. Experimento B: aleatoria vs K-means</w:t>
      </w:r>
    </w:p>
    <w:p>
      <w:r>
        <w:rPr>
          <w:rFonts w:ascii="Atkinson Hyperlegible Next" w:hAnsi="Atkinson Hyperlegible Next" w:cs="Atkinson Hyperlegible Next" w:eastAsia="Atkinson Hyperlegible Next"/>
        </w:rPr>
        <w:drawing>
          <wp:inline xmlns:a="http://schemas.openxmlformats.org/drawingml/2006/main" xmlns:pic="http://schemas.openxmlformats.org/drawingml/2006/picture">
            <wp:extent cx="5400000" cy="2700000"/>
            <wp:docPr id="2" name="Picture 2"/>
            <wp:cNvGraphicFramePr>
              <a:graphicFrameLocks noChangeAspect="1"/>
            </wp:cNvGraphicFramePr>
            <a:graphic>
              <a:graphicData uri="http://schemas.openxmlformats.org/drawingml/2006/picture">
                <pic:pic>
                  <pic:nvPicPr>
                    <pic:cNvPr id="0" name="expB_init.png"/>
                    <pic:cNvPicPr/>
                  </pic:nvPicPr>
                  <pic:blipFill>
                    <a:blip r:embed="rId10"/>
                    <a:stretch>
                      <a:fillRect/>
                    </a:stretch>
                  </pic:blipFill>
                  <pic:spPr>
                    <a:xfrm>
                      <a:off x="0" y="0"/>
                      <a:ext cx="5400000" cy="2700000"/>
                    </a:xfrm>
                    <a:prstGeom prst="rect"/>
                  </pic:spPr>
                </pic:pic>
              </a:graphicData>
            </a:graphic>
          </wp:inline>
        </w:drawing>
      </w:r>
    </w:p>
    <w:tbl>
      <w:tblPr>
        <w:tblStyle w:val="LightGrid-Accent1"/>
        <w:tblW w:type="auto" w:w="0"/>
        <w:tblLook w:firstColumn="1" w:firstRow="1" w:lastColumn="0" w:lastRow="0" w:noHBand="0" w:noVBand="1" w:val="04A0"/>
      </w:tblPr>
      <w:tblGrid>
        <w:gridCol w:w="3324"/>
        <w:gridCol w:w="3324"/>
        <w:gridCol w:w="3324"/>
      </w:tblGrid>
      <w:tr>
        <w:tc>
          <w:tcPr>
            <w:tcW w:type="dxa" w:w="2268"/>
            <w:shd w:fill="1F4E79"/>
          </w:tcPr>
          <w:p>
            <w:r>
              <w:rPr>
                <w:rFonts w:ascii="Atkinson Hyperlegible Next" w:hAnsi="Atkinson Hyperlegible Next" w:cs="Atkinson Hyperlegible Next" w:eastAsia="Atkinson Hyperlegible Next"/>
                <w:b/>
                <w:color w:val="FFFFFF"/>
              </w:rPr>
              <w:t>Init</w:t>
            </w:r>
          </w:p>
        </w:tc>
        <w:tc>
          <w:tcPr>
            <w:tcW w:type="dxa" w:w="1701"/>
            <w:shd w:fill="1F4E79"/>
          </w:tcPr>
          <w:p>
            <w:r>
              <w:rPr>
                <w:rFonts w:ascii="Atkinson Hyperlegible Next" w:hAnsi="Atkinson Hyperlegible Next" w:cs="Atkinson Hyperlegible Next" w:eastAsia="Atkinson Hyperlegible Next"/>
                <w:b/>
                <w:color w:val="FFFFFF"/>
              </w:rPr>
              <w:t>RMSE test</w:t>
            </w:r>
          </w:p>
        </w:tc>
        <w:tc>
          <w:tcPr>
            <w:tcW w:type="dxa" w:w="4535"/>
            <w:shd w:fill="1F4E79"/>
          </w:tcPr>
          <w:p>
            <w:r>
              <w:rPr>
                <w:rFonts w:ascii="Atkinson Hyperlegible Next" w:hAnsi="Atkinson Hyperlegible Next" w:cs="Atkinson Hyperlegible Next" w:eastAsia="Atkinson Hyperlegible Next"/>
                <w:b/>
                <w:color w:val="FFFFFF"/>
              </w:rPr>
              <w:t>Épocas hasta el régimen final</w:t>
            </w:r>
          </w:p>
        </w:tc>
      </w:tr>
      <w:tr>
        <w:tc>
          <w:tcPr>
            <w:tcW w:type="dxa" w:w="2268"/>
          </w:tcPr>
          <w:p>
            <w:r>
              <w:rPr>
                <w:rFonts w:ascii="Atkinson Hyperlegible Next" w:hAnsi="Atkinson Hyperlegible Next" w:cs="Atkinson Hyperlegible Next" w:eastAsia="Atkinson Hyperlegible Next"/>
              </w:rPr>
              <w:t>Aleatoria</w:t>
            </w:r>
          </w:p>
        </w:tc>
        <w:tc>
          <w:tcPr>
            <w:tcW w:type="dxa" w:w="1701"/>
          </w:tcPr>
          <w:p>
            <w:r>
              <w:rPr>
                <w:rFonts w:ascii="Atkinson Hyperlegible Next" w:hAnsi="Atkinson Hyperlegible Next" w:cs="Atkinson Hyperlegible Next" w:eastAsia="Atkinson Hyperlegible Next"/>
              </w:rPr>
              <w:t>0.0366</w:t>
            </w:r>
          </w:p>
        </w:tc>
        <w:tc>
          <w:tcPr>
            <w:tcW w:type="dxa" w:w="4535"/>
          </w:tcPr>
          <w:p>
            <w:r>
              <w:rPr>
                <w:rFonts w:ascii="Atkinson Hyperlegible Next" w:hAnsi="Atkinson Hyperlegible Next" w:cs="Atkinson Hyperlegible Next" w:eastAsia="Atkinson Hyperlegible Next"/>
              </w:rPr>
              <w:t>929</w:t>
            </w:r>
          </w:p>
        </w:tc>
      </w:tr>
      <w:tr>
        <w:tc>
          <w:tcPr>
            <w:tcW w:type="dxa" w:w="2268"/>
          </w:tcPr>
          <w:p>
            <w:r>
              <w:rPr>
                <w:rFonts w:ascii="Atkinson Hyperlegible Next" w:hAnsi="Atkinson Hyperlegible Next" w:cs="Atkinson Hyperlegible Next" w:eastAsia="Atkinson Hyperlegible Next"/>
              </w:rPr>
              <w:t>K-means</w:t>
            </w:r>
          </w:p>
        </w:tc>
        <w:tc>
          <w:tcPr>
            <w:tcW w:type="dxa" w:w="1701"/>
          </w:tcPr>
          <w:p>
            <w:r>
              <w:rPr>
                <w:rFonts w:ascii="Atkinson Hyperlegible Next" w:hAnsi="Atkinson Hyperlegible Next" w:cs="Atkinson Hyperlegible Next" w:eastAsia="Atkinson Hyperlegible Next"/>
              </w:rPr>
              <w:t>0.0308</w:t>
            </w:r>
          </w:p>
        </w:tc>
        <w:tc>
          <w:tcPr>
            <w:tcW w:type="dxa" w:w="4535"/>
          </w:tcPr>
          <w:p>
            <w:r>
              <w:rPr>
                <w:rFonts w:ascii="Atkinson Hyperlegible Next" w:hAnsi="Atkinson Hyperlegible Next" w:cs="Atkinson Hyperlegible Next" w:eastAsia="Atkinson Hyperlegible Next"/>
              </w:rPr>
              <w:t>619</w:t>
            </w:r>
          </w:p>
        </w:tc>
      </w:tr>
    </w:tbl>
    <w:p/>
    <w:p>
      <w:r>
        <w:rPr>
          <w:rFonts w:ascii="Atkinson Hyperlegible Next" w:hAnsi="Atkinson Hyperlegible Next" w:cs="Atkinson Hyperlegible Next" w:eastAsia="Atkinson Hyperlegible Next"/>
        </w:rPr>
        <w:t>K-means ahorra unas 310 épocas (~33 %) y además da mejor RMSE de test. Con la aleatoria, los centros caen lejos de los datos y muchas reglas arrancan con fuerza casi nula.</w:t>
      </w:r>
    </w:p>
    <w:p>
      <w:pPr>
        <w:pStyle w:val="Heading2"/>
      </w:pPr>
      <w:r>
        <w:rPr>
          <w:rFonts w:ascii="Atkinson Hyperlegible Next" w:hAnsi="Atkinson Hyperlegible Next" w:cs="Atkinson Hyperlegible Next" w:eastAsia="Atkinson Hyperlegible Next"/>
          <w:color w:val="1F4E79"/>
        </w:rPr>
        <w:t>6. Experimento C: importancia de variables</w:t>
      </w:r>
    </w:p>
    <w:tbl>
      <w:tblPr>
        <w:tblStyle w:val="LightGrid-Accent1"/>
        <w:tblW w:type="auto" w:w="0"/>
        <w:tblLook w:firstColumn="1" w:firstRow="1" w:lastColumn="0" w:lastRow="0" w:noHBand="0" w:noVBand="1" w:val="04A0"/>
      </w:tblPr>
      <w:tblGrid>
        <w:gridCol w:w="3324"/>
        <w:gridCol w:w="3324"/>
        <w:gridCol w:w="3324"/>
      </w:tblGrid>
      <w:tr>
        <w:tc>
          <w:tcPr>
            <w:tcW w:type="dxa" w:w="2268"/>
            <w:shd w:fill="1F4E79"/>
          </w:tcPr>
          <w:p>
            <w:r>
              <w:rPr>
                <w:rFonts w:ascii="Atkinson Hyperlegible Next" w:hAnsi="Atkinson Hyperlegible Next" w:cs="Atkinson Hyperlegible Next" w:eastAsia="Atkinson Hyperlegible Next"/>
                <w:b/>
                <w:color w:val="FFFFFF"/>
              </w:rPr>
              <w:t>Variable</w:t>
            </w:r>
          </w:p>
        </w:tc>
        <w:tc>
          <w:tcPr>
            <w:tcW w:type="dxa" w:w="2268"/>
            <w:shd w:fill="1F4E79"/>
          </w:tcPr>
          <w:p>
            <w:r>
              <w:rPr>
                <w:rFonts w:ascii="Atkinson Hyperlegible Next" w:hAnsi="Atkinson Hyperlegible Next" w:cs="Atkinson Hyperlegible Next" w:eastAsia="Atkinson Hyperlegible Next"/>
                <w:b/>
                <w:color w:val="FFFFFF"/>
              </w:rPr>
              <w:t>σ media (8 reglas)</w:t>
            </w:r>
          </w:p>
        </w:tc>
        <w:tc>
          <w:tcPr>
            <w:tcW w:type="dxa" w:w="3969"/>
            <w:shd w:fill="1F4E79"/>
          </w:tcPr>
          <w:p>
            <w:r>
              <w:rPr>
                <w:rFonts w:ascii="Atkinson Hyperlegible Next" w:hAnsi="Atkinson Hyperlegible Next" w:cs="Atkinson Hyperlegible Next" w:eastAsia="Atkinson Hyperlegible Next"/>
                <w:b/>
                <w:color w:val="FFFFFF"/>
              </w:rPr>
              <w:t>Interpretación</w:t>
            </w:r>
          </w:p>
        </w:tc>
      </w:tr>
      <w:tr>
        <w:tc>
          <w:tcPr>
            <w:tcW w:type="dxa" w:w="2268"/>
          </w:tcPr>
          <w:p>
            <w:r>
              <w:rPr>
                <w:rFonts w:ascii="Atkinson Hyperlegible Next" w:hAnsi="Atkinson Hyperlegible Next" w:cs="Atkinson Hyperlegible Next" w:eastAsia="Atkinson Hyperlegible Next"/>
              </w:rPr>
              <w:t>H (humedad)</w:t>
            </w:r>
          </w:p>
        </w:tc>
        <w:tc>
          <w:tcPr>
            <w:tcW w:type="dxa" w:w="2268"/>
          </w:tcPr>
          <w:p>
            <w:r>
              <w:rPr>
                <w:rFonts w:ascii="Atkinson Hyperlegible Next" w:hAnsi="Atkinson Hyperlegible Next" w:cs="Atkinson Hyperlegible Next" w:eastAsia="Atkinson Hyperlegible Next"/>
              </w:rPr>
              <w:t>0.242</w:t>
            </w:r>
          </w:p>
        </w:tc>
        <w:tc>
          <w:tcPr>
            <w:tcW w:type="dxa" w:w="3969"/>
          </w:tcPr>
          <w:p>
            <w:r>
              <w:rPr>
                <w:rFonts w:ascii="Atkinson Hyperlegible Next" w:hAnsi="Atkinson Hyperlegible Next" w:cs="Atkinson Hyperlegible Next" w:eastAsia="Atkinson Hyperlegible Next"/>
              </w:rPr>
              <w:t>2.ª más selectiva.</w:t>
            </w:r>
          </w:p>
        </w:tc>
      </w:tr>
      <w:tr>
        <w:tc>
          <w:tcPr>
            <w:tcW w:type="dxa" w:w="2268"/>
          </w:tcPr>
          <w:p>
            <w:r>
              <w:rPr>
                <w:rFonts w:ascii="Atkinson Hyperlegible Next" w:hAnsi="Atkinson Hyperlegible Next" w:cs="Atkinson Hyperlegible Next" w:eastAsia="Atkinson Hyperlegible Next"/>
              </w:rPr>
              <w:t>T (temperatura)</w:t>
            </w:r>
          </w:p>
        </w:tc>
        <w:tc>
          <w:tcPr>
            <w:tcW w:type="dxa" w:w="2268"/>
          </w:tcPr>
          <w:p>
            <w:r>
              <w:rPr>
                <w:rFonts w:ascii="Atkinson Hyperlegible Next" w:hAnsi="Atkinson Hyperlegible Next" w:cs="Atkinson Hyperlegible Next" w:eastAsia="Atkinson Hyperlegible Next"/>
              </w:rPr>
              <w:t>0.352</w:t>
            </w:r>
          </w:p>
        </w:tc>
        <w:tc>
          <w:tcPr>
            <w:tcW w:type="dxa" w:w="3969"/>
          </w:tcPr>
          <w:p>
            <w:r>
              <w:rPr>
                <w:rFonts w:ascii="Atkinson Hyperlegible Next" w:hAnsi="Atkinson Hyperlegible Next" w:cs="Atkinson Hyperlegible Next" w:eastAsia="Atkinson Hyperlegible Next"/>
              </w:rPr>
              <w:t>Menos selectiva.</w:t>
            </w:r>
          </w:p>
        </w:tc>
      </w:tr>
      <w:tr>
        <w:tc>
          <w:tcPr>
            <w:tcW w:type="dxa" w:w="2268"/>
          </w:tcPr>
          <w:p>
            <w:r>
              <w:rPr>
                <w:rFonts w:ascii="Atkinson Hyperlegible Next" w:hAnsi="Atkinson Hyperlegible Next" w:cs="Atkinson Hyperlegible Next" w:eastAsia="Atkinson Hyperlegible Next"/>
              </w:rPr>
              <w:t>P (precipitación)</w:t>
            </w:r>
          </w:p>
        </w:tc>
        <w:tc>
          <w:tcPr>
            <w:tcW w:type="dxa" w:w="2268"/>
          </w:tcPr>
          <w:p>
            <w:r>
              <w:rPr>
                <w:rFonts w:ascii="Atkinson Hyperlegible Next" w:hAnsi="Atkinson Hyperlegible Next" w:cs="Atkinson Hyperlegible Next" w:eastAsia="Atkinson Hyperlegible Next"/>
              </w:rPr>
              <w:t>0.177</w:t>
            </w:r>
          </w:p>
        </w:tc>
        <w:tc>
          <w:tcPr>
            <w:tcW w:type="dxa" w:w="3969"/>
          </w:tcPr>
          <w:p>
            <w:r>
              <w:rPr>
                <w:rFonts w:ascii="Atkinson Hyperlegible Next" w:hAnsi="Atkinson Hyperlegible Next" w:cs="Atkinson Hyperlegible Next" w:eastAsia="Atkinson Hyperlegible Next"/>
              </w:rPr>
              <w:t>La más selectiva.</w:t>
            </w:r>
          </w:p>
        </w:tc>
      </w:tr>
    </w:tbl>
    <w:p/>
    <w:p>
      <w:r>
        <w:rPr>
          <w:rFonts w:ascii="Atkinson Hyperlegible Next" w:hAnsi="Atkinson Hyperlegible Next" w:cs="Atkinson Hyperlegible Next" w:eastAsia="Atkinson Hyperlegible Next"/>
        </w:rPr>
        <w:t>P sale como la más determinante (σ media más pequeña). Coincide solo en parte con el agrónomo: él dice que H es la más importante en situaciones intermedias, pero P es la regla de veto más fuerte («si P &gt; 0.6, no riego»). Cuando llueve fuerte, las demás dejan de importar.</w:t>
      </w:r>
    </w:p>
    <w:p>
      <w:pPr>
        <w:pStyle w:val="Heading2"/>
      </w:pPr>
      <w:r>
        <w:rPr>
          <w:rFonts w:ascii="Atkinson Hyperlegible Next" w:hAnsi="Atkinson Hyperlegible Next" w:cs="Atkinson Hyperlegible Next" w:eastAsia="Atkinson Hyperlegible Next"/>
          <w:color w:val="1F4E79"/>
        </w:rPr>
        <w:t>7. Experimento D: vértices del cubo</w:t>
      </w:r>
    </w:p>
    <w:tbl>
      <w:tblPr>
        <w:tblStyle w:val="LightGrid-Accent1"/>
        <w:tblW w:type="auto" w:w="0"/>
        <w:tblLook w:firstColumn="1" w:firstRow="1" w:lastColumn="0" w:lastRow="0" w:noHBand="0" w:noVBand="1" w:val="04A0"/>
      </w:tblPr>
      <w:tblGrid>
        <w:gridCol w:w="1662"/>
        <w:gridCol w:w="1662"/>
        <w:gridCol w:w="1662"/>
        <w:gridCol w:w="1662"/>
        <w:gridCol w:w="1662"/>
        <w:gridCol w:w="1662"/>
      </w:tblGrid>
      <w:tr>
        <w:tc>
          <w:tcPr>
            <w:tcW w:type="dxa" w:w="567"/>
            <w:shd w:fill="1F4E79"/>
          </w:tcPr>
          <w:p>
            <w:r>
              <w:rPr>
                <w:rFonts w:ascii="Atkinson Hyperlegible Next" w:hAnsi="Atkinson Hyperlegible Next" w:cs="Atkinson Hyperlegible Next" w:eastAsia="Atkinson Hyperlegible Next"/>
                <w:b/>
                <w:color w:val="FFFFFF"/>
              </w:rPr>
              <w:t>H</w:t>
            </w:r>
          </w:p>
        </w:tc>
        <w:tc>
          <w:tcPr>
            <w:tcW w:type="dxa" w:w="567"/>
            <w:shd w:fill="1F4E79"/>
          </w:tcPr>
          <w:p>
            <w:r>
              <w:rPr>
                <w:rFonts w:ascii="Atkinson Hyperlegible Next" w:hAnsi="Atkinson Hyperlegible Next" w:cs="Atkinson Hyperlegible Next" w:eastAsia="Atkinson Hyperlegible Next"/>
                <w:b/>
                <w:color w:val="FFFFFF"/>
              </w:rPr>
              <w:t>T</w:t>
            </w:r>
          </w:p>
        </w:tc>
        <w:tc>
          <w:tcPr>
            <w:tcW w:type="dxa" w:w="567"/>
            <w:shd w:fill="1F4E79"/>
          </w:tcPr>
          <w:p>
            <w:r>
              <w:rPr>
                <w:rFonts w:ascii="Atkinson Hyperlegible Next" w:hAnsi="Atkinson Hyperlegible Next" w:cs="Atkinson Hyperlegible Next" w:eastAsia="Atkinson Hyperlegible Next"/>
                <w:b/>
                <w:color w:val="FFFFFF"/>
              </w:rPr>
              <w:t>P</w:t>
            </w:r>
          </w:p>
        </w:tc>
        <w:tc>
          <w:tcPr>
            <w:tcW w:type="dxa" w:w="1701"/>
            <w:shd w:fill="1F4E79"/>
          </w:tcPr>
          <w:p>
            <w:r>
              <w:rPr>
                <w:rFonts w:ascii="Atkinson Hyperlegible Next" w:hAnsi="Atkinson Hyperlegible Next" w:cs="Atkinson Hyperlegible Next" w:eastAsia="Atkinson Hyperlegible Next"/>
                <w:b/>
                <w:color w:val="FFFFFF"/>
              </w:rPr>
              <w:t>Pred ANFIS</w:t>
            </w:r>
          </w:p>
        </w:tc>
        <w:tc>
          <w:tcPr>
            <w:tcW w:type="dxa" w:w="1701"/>
            <w:shd w:fill="1F4E79"/>
          </w:tcPr>
          <w:p>
            <w:r>
              <w:rPr>
                <w:rFonts w:ascii="Atkinson Hyperlegible Next" w:hAnsi="Atkinson Hyperlegible Next" w:cs="Atkinson Hyperlegible Next" w:eastAsia="Atkinson Hyperlegible Next"/>
                <w:b/>
                <w:color w:val="FFFFFF"/>
              </w:rPr>
              <w:t>Experto</w:t>
            </w:r>
          </w:p>
        </w:tc>
        <w:tc>
          <w:tcPr>
            <w:tcW w:type="dxa" w:w="1134"/>
            <w:shd w:fill="1F4E79"/>
          </w:tcPr>
          <w:p>
            <w:r>
              <w:rPr>
                <w:rFonts w:ascii="Atkinson Hyperlegible Next" w:hAnsi="Atkinson Hyperlegible Next" w:cs="Atkinson Hyperlegible Next" w:eastAsia="Atkinson Hyperlegible Next"/>
                <w:b/>
                <w:color w:val="FFFFFF"/>
              </w:rPr>
              <w:t>|err|</w:t>
            </w:r>
          </w:p>
        </w:tc>
      </w:tr>
      <w:tr>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0</w:t>
            </w:r>
          </w:p>
        </w:tc>
        <w:tc>
          <w:tcPr>
            <w:tcW w:type="dxa" w:w="1701"/>
          </w:tcPr>
          <w:p>
            <w:r>
              <w:rPr>
                <w:rFonts w:ascii="Atkinson Hyperlegible Next" w:hAnsi="Atkinson Hyperlegible Next" w:cs="Atkinson Hyperlegible Next" w:eastAsia="Atkinson Hyperlegible Next"/>
              </w:rPr>
              <w:t>0.505</w:t>
            </w:r>
          </w:p>
        </w:tc>
        <w:tc>
          <w:tcPr>
            <w:tcW w:type="dxa" w:w="1701"/>
          </w:tcPr>
          <w:p>
            <w:r>
              <w:rPr>
                <w:rFonts w:ascii="Atkinson Hyperlegible Next" w:hAnsi="Atkinson Hyperlegible Next" w:cs="Atkinson Hyperlegible Next" w:eastAsia="Atkinson Hyperlegible Next"/>
              </w:rPr>
              <w:t>0.560</w:t>
            </w:r>
          </w:p>
        </w:tc>
        <w:tc>
          <w:tcPr>
            <w:tcW w:type="dxa" w:w="1134"/>
          </w:tcPr>
          <w:p>
            <w:r>
              <w:rPr>
                <w:rFonts w:ascii="Atkinson Hyperlegible Next" w:hAnsi="Atkinson Hyperlegible Next" w:cs="Atkinson Hyperlegible Next" w:eastAsia="Atkinson Hyperlegible Next"/>
              </w:rPr>
              <w:t>0.055</w:t>
            </w:r>
          </w:p>
        </w:tc>
      </w:tr>
      <w:tr>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1</w:t>
            </w:r>
          </w:p>
        </w:tc>
        <w:tc>
          <w:tcPr>
            <w:tcW w:type="dxa" w:w="1701"/>
          </w:tcPr>
          <w:p>
            <w:r>
              <w:rPr>
                <w:rFonts w:ascii="Atkinson Hyperlegible Next" w:hAnsi="Atkinson Hyperlegible Next" w:cs="Atkinson Hyperlegible Next" w:eastAsia="Atkinson Hyperlegible Next"/>
              </w:rPr>
              <w:t>0.021</w:t>
            </w:r>
          </w:p>
        </w:tc>
        <w:tc>
          <w:tcPr>
            <w:tcW w:type="dxa" w:w="1701"/>
          </w:tcPr>
          <w:p>
            <w:r>
              <w:rPr>
                <w:rFonts w:ascii="Atkinson Hyperlegible Next" w:hAnsi="Atkinson Hyperlegible Next" w:cs="Atkinson Hyperlegible Next" w:eastAsia="Atkinson Hyperlegible Next"/>
              </w:rPr>
              <w:t>0.000</w:t>
            </w:r>
          </w:p>
        </w:tc>
        <w:tc>
          <w:tcPr>
            <w:tcW w:type="dxa" w:w="1134"/>
          </w:tcPr>
          <w:p>
            <w:r>
              <w:rPr>
                <w:rFonts w:ascii="Atkinson Hyperlegible Next" w:hAnsi="Atkinson Hyperlegible Next" w:cs="Atkinson Hyperlegible Next" w:eastAsia="Atkinson Hyperlegible Next"/>
              </w:rPr>
              <w:t>0.021</w:t>
            </w:r>
          </w:p>
        </w:tc>
      </w:tr>
      <w:tr>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0</w:t>
            </w:r>
          </w:p>
        </w:tc>
        <w:tc>
          <w:tcPr>
            <w:tcW w:type="dxa" w:w="1701"/>
          </w:tcPr>
          <w:p>
            <w:r>
              <w:rPr>
                <w:rFonts w:ascii="Atkinson Hyperlegible Next" w:hAnsi="Atkinson Hyperlegible Next" w:cs="Atkinson Hyperlegible Next" w:eastAsia="Atkinson Hyperlegible Next"/>
              </w:rPr>
              <w:t>0.911</w:t>
            </w:r>
          </w:p>
        </w:tc>
        <w:tc>
          <w:tcPr>
            <w:tcW w:type="dxa" w:w="1701"/>
          </w:tcPr>
          <w:p>
            <w:r>
              <w:rPr>
                <w:rFonts w:ascii="Atkinson Hyperlegible Next" w:hAnsi="Atkinson Hyperlegible Next" w:cs="Atkinson Hyperlegible Next" w:eastAsia="Atkinson Hyperlegible Next"/>
              </w:rPr>
              <w:t>0.930</w:t>
            </w:r>
          </w:p>
        </w:tc>
        <w:tc>
          <w:tcPr>
            <w:tcW w:type="dxa" w:w="1134"/>
          </w:tcPr>
          <w:p>
            <w:r>
              <w:rPr>
                <w:rFonts w:ascii="Atkinson Hyperlegible Next" w:hAnsi="Atkinson Hyperlegible Next" w:cs="Atkinson Hyperlegible Next" w:eastAsia="Atkinson Hyperlegible Next"/>
              </w:rPr>
              <w:t>0.019</w:t>
            </w:r>
          </w:p>
        </w:tc>
      </w:tr>
      <w:tr>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1</w:t>
            </w:r>
          </w:p>
        </w:tc>
        <w:tc>
          <w:tcPr>
            <w:tcW w:type="dxa" w:w="1701"/>
          </w:tcPr>
          <w:p>
            <w:r>
              <w:rPr>
                <w:rFonts w:ascii="Atkinson Hyperlegible Next" w:hAnsi="Atkinson Hyperlegible Next" w:cs="Atkinson Hyperlegible Next" w:eastAsia="Atkinson Hyperlegible Next"/>
              </w:rPr>
              <w:t>0.139</w:t>
            </w:r>
          </w:p>
        </w:tc>
        <w:tc>
          <w:tcPr>
            <w:tcW w:type="dxa" w:w="1701"/>
          </w:tcPr>
          <w:p>
            <w:r>
              <w:rPr>
                <w:rFonts w:ascii="Atkinson Hyperlegible Next" w:hAnsi="Atkinson Hyperlegible Next" w:cs="Atkinson Hyperlegible Next" w:eastAsia="Atkinson Hyperlegible Next"/>
              </w:rPr>
              <w:t>0.000</w:t>
            </w:r>
          </w:p>
        </w:tc>
        <w:tc>
          <w:tcPr>
            <w:tcW w:type="dxa" w:w="1134"/>
          </w:tcPr>
          <w:p>
            <w:r>
              <w:rPr>
                <w:rFonts w:ascii="Atkinson Hyperlegible Next" w:hAnsi="Atkinson Hyperlegible Next" w:cs="Atkinson Hyperlegible Next" w:eastAsia="Atkinson Hyperlegible Next"/>
              </w:rPr>
              <w:t>0.139</w:t>
            </w:r>
          </w:p>
        </w:tc>
      </w:tr>
      <w:tr>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0</w:t>
            </w:r>
          </w:p>
        </w:tc>
        <w:tc>
          <w:tcPr>
            <w:tcW w:type="dxa" w:w="1701"/>
          </w:tcPr>
          <w:p>
            <w:r>
              <w:rPr>
                <w:rFonts w:ascii="Atkinson Hyperlegible Next" w:hAnsi="Atkinson Hyperlegible Next" w:cs="Atkinson Hyperlegible Next" w:eastAsia="Atkinson Hyperlegible Next"/>
              </w:rPr>
              <w:t>-0.012</w:t>
            </w:r>
          </w:p>
        </w:tc>
        <w:tc>
          <w:tcPr>
            <w:tcW w:type="dxa" w:w="1701"/>
          </w:tcPr>
          <w:p>
            <w:r>
              <w:rPr>
                <w:rFonts w:ascii="Atkinson Hyperlegible Next" w:hAnsi="Atkinson Hyperlegible Next" w:cs="Atkinson Hyperlegible Next" w:eastAsia="Atkinson Hyperlegible Next"/>
              </w:rPr>
              <w:t>0.000</w:t>
            </w:r>
          </w:p>
        </w:tc>
        <w:tc>
          <w:tcPr>
            <w:tcW w:type="dxa" w:w="1134"/>
          </w:tcPr>
          <w:p>
            <w:r>
              <w:rPr>
                <w:rFonts w:ascii="Atkinson Hyperlegible Next" w:hAnsi="Atkinson Hyperlegible Next" w:cs="Atkinson Hyperlegible Next" w:eastAsia="Atkinson Hyperlegible Next"/>
              </w:rPr>
              <w:t>0.012</w:t>
            </w:r>
          </w:p>
        </w:tc>
      </w:tr>
      <w:tr>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0</w:t>
            </w:r>
          </w:p>
        </w:tc>
        <w:tc>
          <w:tcPr>
            <w:tcW w:type="dxa" w:w="567"/>
          </w:tcPr>
          <w:p>
            <w:r>
              <w:rPr>
                <w:rFonts w:ascii="Atkinson Hyperlegible Next" w:hAnsi="Atkinson Hyperlegible Next" w:cs="Atkinson Hyperlegible Next" w:eastAsia="Atkinson Hyperlegible Next"/>
              </w:rPr>
              <w:t>1</w:t>
            </w:r>
          </w:p>
        </w:tc>
        <w:tc>
          <w:tcPr>
            <w:tcW w:type="dxa" w:w="1701"/>
          </w:tcPr>
          <w:p>
            <w:r>
              <w:rPr>
                <w:rFonts w:ascii="Atkinson Hyperlegible Next" w:hAnsi="Atkinson Hyperlegible Next" w:cs="Atkinson Hyperlegible Next" w:eastAsia="Atkinson Hyperlegible Next"/>
              </w:rPr>
              <w:t>-0.031</w:t>
            </w:r>
          </w:p>
        </w:tc>
        <w:tc>
          <w:tcPr>
            <w:tcW w:type="dxa" w:w="1701"/>
          </w:tcPr>
          <w:p>
            <w:r>
              <w:rPr>
                <w:rFonts w:ascii="Atkinson Hyperlegible Next" w:hAnsi="Atkinson Hyperlegible Next" w:cs="Atkinson Hyperlegible Next" w:eastAsia="Atkinson Hyperlegible Next"/>
              </w:rPr>
              <w:t>0.000</w:t>
            </w:r>
          </w:p>
        </w:tc>
        <w:tc>
          <w:tcPr>
            <w:tcW w:type="dxa" w:w="1134"/>
          </w:tcPr>
          <w:p>
            <w:r>
              <w:rPr>
                <w:rFonts w:ascii="Atkinson Hyperlegible Next" w:hAnsi="Atkinson Hyperlegible Next" w:cs="Atkinson Hyperlegible Next" w:eastAsia="Atkinson Hyperlegible Next"/>
              </w:rPr>
              <w:t>0.031</w:t>
            </w:r>
          </w:p>
        </w:tc>
      </w:tr>
      <w:tr>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0</w:t>
            </w:r>
          </w:p>
        </w:tc>
        <w:tc>
          <w:tcPr>
            <w:tcW w:type="dxa" w:w="1701"/>
          </w:tcPr>
          <w:p>
            <w:r>
              <w:rPr>
                <w:rFonts w:ascii="Atkinson Hyperlegible Next" w:hAnsi="Atkinson Hyperlegible Next" w:cs="Atkinson Hyperlegible Next" w:eastAsia="Atkinson Hyperlegible Next"/>
              </w:rPr>
              <w:t>-0.017</w:t>
            </w:r>
          </w:p>
        </w:tc>
        <w:tc>
          <w:tcPr>
            <w:tcW w:type="dxa" w:w="1701"/>
          </w:tcPr>
          <w:p>
            <w:r>
              <w:rPr>
                <w:rFonts w:ascii="Atkinson Hyperlegible Next" w:hAnsi="Atkinson Hyperlegible Next" w:cs="Atkinson Hyperlegible Next" w:eastAsia="Atkinson Hyperlegible Next"/>
              </w:rPr>
              <w:t>0.000</w:t>
            </w:r>
          </w:p>
        </w:tc>
        <w:tc>
          <w:tcPr>
            <w:tcW w:type="dxa" w:w="1134"/>
          </w:tcPr>
          <w:p>
            <w:r>
              <w:rPr>
                <w:rFonts w:ascii="Atkinson Hyperlegible Next" w:hAnsi="Atkinson Hyperlegible Next" w:cs="Atkinson Hyperlegible Next" w:eastAsia="Atkinson Hyperlegible Next"/>
              </w:rPr>
              <w:t>0.017</w:t>
            </w:r>
          </w:p>
        </w:tc>
      </w:tr>
      <w:tr>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1</w:t>
            </w:r>
          </w:p>
        </w:tc>
        <w:tc>
          <w:tcPr>
            <w:tcW w:type="dxa" w:w="567"/>
          </w:tcPr>
          <w:p>
            <w:r>
              <w:rPr>
                <w:rFonts w:ascii="Atkinson Hyperlegible Next" w:hAnsi="Atkinson Hyperlegible Next" w:cs="Atkinson Hyperlegible Next" w:eastAsia="Atkinson Hyperlegible Next"/>
              </w:rPr>
              <w:t>1</w:t>
            </w:r>
          </w:p>
        </w:tc>
        <w:tc>
          <w:tcPr>
            <w:tcW w:type="dxa" w:w="1701"/>
          </w:tcPr>
          <w:p>
            <w:r>
              <w:rPr>
                <w:rFonts w:ascii="Atkinson Hyperlegible Next" w:hAnsi="Atkinson Hyperlegible Next" w:cs="Atkinson Hyperlegible Next" w:eastAsia="Atkinson Hyperlegible Next"/>
              </w:rPr>
              <w:t>-0.048</w:t>
            </w:r>
          </w:p>
        </w:tc>
        <w:tc>
          <w:tcPr>
            <w:tcW w:type="dxa" w:w="1701"/>
          </w:tcPr>
          <w:p>
            <w:r>
              <w:rPr>
                <w:rFonts w:ascii="Atkinson Hyperlegible Next" w:hAnsi="Atkinson Hyperlegible Next" w:cs="Atkinson Hyperlegible Next" w:eastAsia="Atkinson Hyperlegible Next"/>
              </w:rPr>
              <w:t>0.000</w:t>
            </w:r>
          </w:p>
        </w:tc>
        <w:tc>
          <w:tcPr>
            <w:tcW w:type="dxa" w:w="1134"/>
          </w:tcPr>
          <w:p>
            <w:r>
              <w:rPr>
                <w:rFonts w:ascii="Atkinson Hyperlegible Next" w:hAnsi="Atkinson Hyperlegible Next" w:cs="Atkinson Hyperlegible Next" w:eastAsia="Atkinson Hyperlegible Next"/>
              </w:rPr>
              <w:t>0.048</w:t>
            </w:r>
          </w:p>
        </w:tc>
      </w:tr>
    </w:tbl>
    <w:p/>
    <w:p>
      <w:r>
        <w:rPr>
          <w:rFonts w:ascii="Atkinson Hyperlegible Next" w:hAnsi="Atkinson Hyperlegible Next" w:cs="Atkinson Hyperlegible Next" w:eastAsia="Atkinson Hyperlegible Next"/>
        </w:rPr>
        <w:t>Error medio 0.043, máximo 0.139 en (H=0, T=1, P=1): ahí chocan dos reglas (suelo seco + calor pide regar, pero la lluvia dice que no). El experto resuelve por prioridad y ANFIS promedia, así que predice 0.139 en vez de 0. En el resto, el error está por debajo del ruido del sensor.</w:t>
      </w:r>
    </w:p>
    <w:p>
      <w:pPr>
        <w:pStyle w:val="Heading2"/>
      </w:pPr>
      <w:r>
        <w:rPr>
          <w:rFonts w:ascii="Atkinson Hyperlegible Next" w:hAnsi="Atkinson Hyperlegible Next" w:cs="Atkinson Hyperlegible Next" w:eastAsia="Atkinson Hyperlegible Next"/>
          <w:color w:val="1F4E79"/>
        </w:rPr>
        <w:t>8. Experimento E: sistema explicable</w:t>
      </w:r>
    </w:p>
    <w:p>
      <w:r>
        <w:rPr>
          <w:rFonts w:ascii="Atkinson Hyperlegible Next" w:hAnsi="Atkinson Hyperlegible Next" w:cs="Atkinson Hyperlegible Next" w:eastAsia="Atkinson Hyperlegible Next"/>
        </w:rPr>
        <w:t>Adapto la función explicar_decision() del documento de referencia a 3 entradas. Devuelve la dosis y la activación de cada regla.</w:t>
      </w:r>
    </w:p>
    <w:p>
      <w:r>
        <w:rPr>
          <w:rFonts w:ascii="Atkinson Hyperlegible Next" w:hAnsi="Atkinson Hyperlegible Next" w:cs="Atkinson Hyperlegible Next" w:eastAsia="Atkinson Hyperlegible Next"/>
          <w:b/>
        </w:rPr>
        <w:t>(a) Tarde de julio seca</w:t>
      </w:r>
      <w:r>
        <w:rPr>
          <w:rFonts w:ascii="Atkinson Hyperlegible Next" w:hAnsi="Atkinson Hyperlegible Next" w:cs="Atkinson Hyperlegible Next" w:eastAsia="Atkinson Hyperlegible Next"/>
        </w:rPr>
        <w:t xml:space="preserve"> (H=0.15, T=0.85, P=0.05): dosis = 0.800 (6.40 mm/día), </w:t>
      </w:r>
      <w:r>
        <w:rPr>
          <w:rFonts w:ascii="Atkinson Hyperlegible Next" w:hAnsi="Atkinson Hyperlegible Next" w:cs="Atkinson Hyperlegible Next" w:eastAsia="Atkinson Hyperlegible Next"/>
          <w:b/>
        </w:rPr>
        <w:t>riego ALTO</w:t>
      </w:r>
      <w:r>
        <w:rPr>
          <w:rFonts w:ascii="Atkinson Hyperlegible Next" w:hAnsi="Atkinson Hyperlegible Next" w:cs="Atkinson Hyperlegible Next" w:eastAsia="Atkinson Hyperlegible Next"/>
        </w:rPr>
        <w:t>. Coincide con lo que diría el agrónomo (regar mucho).</w:t>
      </w:r>
    </w:p>
    <w:p>
      <w:r>
        <w:rPr>
          <w:rFonts w:ascii="Atkinson Hyperlegible Next" w:hAnsi="Atkinson Hyperlegible Next" w:cs="Atkinson Hyperlegible Next" w:eastAsia="Atkinson Hyperlegible Next"/>
          <w:b/>
        </w:rPr>
        <w:t>(b) Mañana lluviosa de noviembre</w:t>
      </w:r>
      <w:r>
        <w:rPr>
          <w:rFonts w:ascii="Atkinson Hyperlegible Next" w:hAnsi="Atkinson Hyperlegible Next" w:cs="Atkinson Hyperlegible Next" w:eastAsia="Atkinson Hyperlegible Next"/>
        </w:rPr>
        <w:t xml:space="preserve"> (H=0.90, T=0.30, P=0.80): dosis = -0.004, </w:t>
      </w:r>
      <w:r>
        <w:rPr>
          <w:rFonts w:ascii="Atkinson Hyperlegible Next" w:hAnsi="Atkinson Hyperlegible Next" w:cs="Atkinson Hyperlegible Next" w:eastAsia="Atkinson Hyperlegible Next"/>
          <w:b/>
        </w:rPr>
        <w:t>NO REGAR</w:t>
      </w:r>
      <w:r>
        <w:rPr>
          <w:rFonts w:ascii="Atkinson Hyperlegible Next" w:hAnsi="Atkinson Hyperlegible Next" w:cs="Atkinson Hyperlegible Next" w:eastAsia="Atkinson Hyperlegible Next"/>
        </w:rPr>
        <w:t>. Doble veto activo (suelo saturado y lluvia), predice cero.</w:t>
      </w:r>
    </w:p>
    <w:p>
      <w:pPr>
        <w:pStyle w:val="Heading2"/>
      </w:pPr>
      <w:r>
        <w:rPr>
          <w:rFonts w:ascii="Atkinson Hyperlegible Next" w:hAnsi="Atkinson Hyperlegible Next" w:cs="Atkinson Hyperlegible Next" w:eastAsia="Atkinson Hyperlegible Next"/>
          <w:color w:val="1F4E79"/>
        </w:rPr>
        <w:t>9. Conclusión</w:t>
      </w:r>
    </w:p>
    <w:p>
      <w:r>
        <w:rPr>
          <w:rFonts w:ascii="Atkinson Hyperlegible Next" w:hAnsi="Atkinson Hyperlegible Next" w:cs="Atkinson Hyperlegible Next" w:eastAsia="Atkinson Hyperlegible Next"/>
        </w:rPr>
        <w:t>ANFIS frente a una red neuronal pura, en agricultura yo elegiría ANFIS. Con 8 reglas saco R² = 0.98 y, sobre todo, puedo enseñar al agrónomo qué reglas se han disparado en cada recomendación. Una MLP sería caja negra. Tampoco necesito muchos datos. Lo cambiaría por una red neuronal si tuviera 8 o 10 entradas o el problema fuera muy no convexo (por ejemplo, clasificar plagas en imágenes), porque ahí ANFIS escala mal.</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tkinson Hyperlegible Next" w:hAnsi="Atkinson Hyperlegible Next" w:cs="Atkinson Hyperlegible Next" w:eastAsia="Atkinson Hyperlegible Next"/>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tkinson Hyperlegible Next" w:hAnsi="Atkinson Hyperlegible Next" w:cs="Atkinson Hyperlegible Next" w:eastAsia="Atkinson Hyperlegible Next"/>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tkinson Hyperlegible Next" w:hAnsi="Atkinson Hyperlegible Next" w:cs="Atkinson Hyperlegible Next" w:eastAsia="Atkinson Hyperlegible Next"/>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tkinson Hyperlegible Next" w:hAnsi="Atkinson Hyperlegible Next" w:cs="Atkinson Hyperlegible Next" w:eastAsia="Atkinson Hyperlegible Next"/>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