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4AF73" w14:textId="77777777" w:rsidR="002241FB" w:rsidRDefault="00000000">
      <w:pPr>
        <w:pStyle w:val="TNTitle"/>
        <w:keepNext/>
        <w:rPr>
          <w:lang w:eastAsia="ja-JP"/>
        </w:rPr>
      </w:pPr>
      <w:r>
        <w:rPr>
          <w:lang w:eastAsia="ja-JP"/>
        </w:rPr>
        <w:t>カルッツかわさき「世界を楽しむ、やさしい大人の英会話」講座を開催</w:t>
      </w:r>
    </w:p>
    <w:p w14:paraId="332BAF23" w14:textId="77777777" w:rsidR="002241FB" w:rsidRDefault="002241FB">
      <w:pPr>
        <w:pBdr>
          <w:bottom w:val="single" w:sz="16" w:space="1" w:color="1F4E79"/>
        </w:pBdr>
        <w:spacing w:after="200"/>
        <w:rPr>
          <w:lang w:eastAsia="ja-JP"/>
        </w:rPr>
      </w:pPr>
    </w:p>
    <w:p w14:paraId="2DEA9BF8" w14:textId="77777777" w:rsidR="002241FB" w:rsidRDefault="00000000">
      <w:pPr>
        <w:pStyle w:val="TNLead"/>
        <w:rPr>
          <w:lang w:eastAsia="ja-JP"/>
        </w:rPr>
      </w:pPr>
      <w:r>
        <w:rPr>
          <w:lang w:eastAsia="ja-JP"/>
        </w:rPr>
        <w:t>Top Notch Inc.代表の馬場崎 修が、川崎市スポーツ・文化総合センター「カルッツかわさき」のカルチャースクールにおいて、市民向け英語講座「世界を楽しむ、やさしい大人の英会話」の講師を務めています。</w:t>
      </w:r>
    </w:p>
    <w:p w14:paraId="1C6E5329" w14:textId="77777777" w:rsidR="002241FB" w:rsidRDefault="00000000">
      <w:pPr>
        <w:rPr>
          <w:lang w:eastAsia="ja-JP"/>
        </w:rPr>
      </w:pPr>
      <w:r>
        <w:rPr>
          <w:lang w:eastAsia="ja-JP"/>
        </w:rPr>
        <w:t>2026年7月から9月まで全7回の日程で、「入門レベル」と「初級レベル」の2クラスを開講しており、現在、第4回まで終了しています。</w:t>
      </w:r>
    </w:p>
    <w:p w14:paraId="4F790C1C" w14:textId="77777777" w:rsidR="002241FB" w:rsidRDefault="00000000">
      <w:pPr>
        <w:rPr>
          <w:lang w:eastAsia="ja-JP"/>
        </w:rPr>
      </w:pPr>
      <w:r>
        <w:rPr>
          <w:lang w:eastAsia="ja-JP"/>
        </w:rPr>
        <w:t>この講座で大切にしているのは、単に英単語や文法を学ぶことではなく、</w:t>
      </w:r>
      <w:r>
        <w:rPr>
          <w:b/>
          <w:color w:val="1F4E79"/>
          <w:lang w:eastAsia="ja-JP"/>
        </w:rPr>
        <w:t>英語を通じて、世界の歴史・文化・芸術・暮らしなど、さまざまな情報を楽しく学ぶこと</w:t>
      </w:r>
      <w:r>
        <w:rPr>
          <w:lang w:eastAsia="ja-JP"/>
        </w:rPr>
        <w:t>です。</w:t>
      </w:r>
    </w:p>
    <w:p w14:paraId="71D25B32" w14:textId="77777777" w:rsidR="002241FB" w:rsidRDefault="00000000">
      <w:pPr>
        <w:rPr>
          <w:lang w:eastAsia="ja-JP"/>
        </w:rPr>
      </w:pPr>
      <w:r>
        <w:rPr>
          <w:lang w:eastAsia="ja-JP"/>
        </w:rPr>
        <w:t>講師が独自に作成した教材と映像を使い、英語を「読む」「聴く」「話す」ことに加えて、その背景にある歴史や文化にも目を向けます。</w:t>
      </w:r>
    </w:p>
    <w:p w14:paraId="2E0182E1" w14:textId="77777777" w:rsidR="002241FB" w:rsidRDefault="00000000">
      <w:pPr>
        <w:pStyle w:val="TNSubhead"/>
        <w:keepNext/>
        <w:rPr>
          <w:lang w:eastAsia="ja-JP"/>
        </w:rPr>
      </w:pPr>
      <w:r>
        <w:rPr>
          <w:lang w:eastAsia="ja-JP"/>
        </w:rPr>
        <w:t>現在進行中のシリーズ</w:t>
      </w:r>
    </w:p>
    <w:p w14:paraId="0B06B301" w14:textId="77777777" w:rsidR="002241FB" w:rsidRDefault="00000000">
      <w:pPr>
        <w:rPr>
          <w:lang w:eastAsia="ja-JP"/>
        </w:rPr>
      </w:pPr>
      <w:r>
        <w:rPr>
          <w:lang w:eastAsia="ja-JP"/>
        </w:rPr>
        <w:t>今回のシリーズでは、宗教・芸術、コーヒー文化、美術、デザイン、紅茶、陶磁器、銀食器など、一見すると異なるテーマを取り上げながら、それぞれを世界の歴史や文化のつながりの中で学んでいます。</w:t>
      </w:r>
    </w:p>
    <w:p w14:paraId="1B0DE8DC" w14:textId="77777777" w:rsidR="002241FB" w:rsidRDefault="00000000">
      <w:pPr>
        <w:spacing w:before="40" w:after="20"/>
        <w:rPr>
          <w:lang w:eastAsia="ja-JP"/>
        </w:rPr>
      </w:pPr>
      <w:r>
        <w:rPr>
          <w:b/>
          <w:sz w:val="23"/>
          <w:lang w:eastAsia="ja-JP"/>
        </w:rPr>
        <w:t>第1回　青 ― 宗教・芸術</w:t>
      </w:r>
    </w:p>
    <w:p w14:paraId="7FAAFBF0" w14:textId="77777777" w:rsidR="002241FB" w:rsidRDefault="00000000">
      <w:pPr>
        <w:spacing w:after="0"/>
        <w:ind w:left="360"/>
        <w:rPr>
          <w:lang w:eastAsia="ja-JP"/>
        </w:rPr>
      </w:pPr>
      <w:r>
        <w:rPr>
          <w:lang w:eastAsia="ja-JP"/>
        </w:rPr>
        <w:t>入門：教会を彩る青い光</w:t>
      </w:r>
    </w:p>
    <w:p w14:paraId="5D9012FB" w14:textId="77777777" w:rsidR="002241FB" w:rsidRDefault="00000000">
      <w:pPr>
        <w:spacing w:after="60"/>
        <w:ind w:left="360"/>
        <w:rPr>
          <w:lang w:eastAsia="ja-JP"/>
        </w:rPr>
      </w:pPr>
      <w:r>
        <w:rPr>
          <w:lang w:eastAsia="ja-JP"/>
        </w:rPr>
        <w:t>初級：システィーナ礼拝堂の青</w:t>
      </w:r>
    </w:p>
    <w:p w14:paraId="7B351D7E" w14:textId="77777777" w:rsidR="002241FB" w:rsidRDefault="00000000">
      <w:pPr>
        <w:spacing w:before="140" w:after="20"/>
        <w:rPr>
          <w:lang w:eastAsia="ja-JP"/>
        </w:rPr>
      </w:pPr>
      <w:r>
        <w:rPr>
          <w:b/>
          <w:sz w:val="23"/>
          <w:lang w:eastAsia="ja-JP"/>
        </w:rPr>
        <w:t>第2回　コーヒー ― 文化・社会史</w:t>
      </w:r>
    </w:p>
    <w:p w14:paraId="3FB963B5" w14:textId="77777777" w:rsidR="002241FB" w:rsidRDefault="00000000">
      <w:pPr>
        <w:spacing w:after="0"/>
        <w:ind w:left="360"/>
        <w:rPr>
          <w:lang w:eastAsia="ja-JP"/>
        </w:rPr>
      </w:pPr>
      <w:r>
        <w:rPr>
          <w:lang w:eastAsia="ja-JP"/>
        </w:rPr>
        <w:t>入門：ウィーンとコーヒー</w:t>
      </w:r>
    </w:p>
    <w:p w14:paraId="4632F730" w14:textId="77777777" w:rsidR="002241FB" w:rsidRDefault="00000000">
      <w:pPr>
        <w:spacing w:after="60"/>
        <w:ind w:left="360"/>
        <w:rPr>
          <w:lang w:eastAsia="ja-JP"/>
        </w:rPr>
      </w:pPr>
      <w:r>
        <w:rPr>
          <w:lang w:eastAsia="ja-JP"/>
        </w:rPr>
        <w:t>初級：コーヒーハウスとスパイ</w:t>
      </w:r>
    </w:p>
    <w:p w14:paraId="2C41BD83" w14:textId="77777777" w:rsidR="002241FB" w:rsidRDefault="00000000">
      <w:pPr>
        <w:spacing w:before="140" w:after="20"/>
        <w:rPr>
          <w:lang w:eastAsia="ja-JP"/>
        </w:rPr>
      </w:pPr>
      <w:r>
        <w:rPr>
          <w:b/>
          <w:sz w:val="23"/>
          <w:lang w:eastAsia="ja-JP"/>
        </w:rPr>
        <w:t>第3回　ゴッホ ― 美術</w:t>
      </w:r>
    </w:p>
    <w:p w14:paraId="71101298" w14:textId="77777777" w:rsidR="002241FB" w:rsidRDefault="00000000">
      <w:pPr>
        <w:spacing w:after="0"/>
        <w:ind w:left="360"/>
        <w:rPr>
          <w:lang w:eastAsia="ja-JP"/>
        </w:rPr>
      </w:pPr>
      <w:r>
        <w:rPr>
          <w:lang w:eastAsia="ja-JP"/>
        </w:rPr>
        <w:t>入門：ゴッホとゴーギャン</w:t>
      </w:r>
    </w:p>
    <w:p w14:paraId="10A6406A" w14:textId="77777777" w:rsidR="002241FB" w:rsidRDefault="00000000">
      <w:pPr>
        <w:spacing w:after="60"/>
        <w:ind w:left="360"/>
        <w:rPr>
          <w:lang w:eastAsia="ja-JP"/>
        </w:rPr>
      </w:pPr>
      <w:r>
        <w:rPr>
          <w:lang w:eastAsia="ja-JP"/>
        </w:rPr>
        <w:t>初級：ゴッホと日本の浮世絵</w:t>
      </w:r>
    </w:p>
    <w:p w14:paraId="5501EB43" w14:textId="77777777" w:rsidR="002241FB" w:rsidRDefault="00000000">
      <w:pPr>
        <w:spacing w:before="140" w:after="20"/>
        <w:rPr>
          <w:lang w:eastAsia="ja-JP"/>
        </w:rPr>
      </w:pPr>
      <w:r>
        <w:rPr>
          <w:b/>
          <w:sz w:val="23"/>
          <w:lang w:eastAsia="ja-JP"/>
        </w:rPr>
        <w:t>第4回　ピカソ ― 美術・デザイン</w:t>
      </w:r>
    </w:p>
    <w:p w14:paraId="45AB517D" w14:textId="77777777" w:rsidR="002241FB" w:rsidRDefault="00000000">
      <w:pPr>
        <w:spacing w:after="0"/>
        <w:ind w:left="360"/>
        <w:rPr>
          <w:lang w:eastAsia="ja-JP"/>
        </w:rPr>
      </w:pPr>
      <w:r>
        <w:rPr>
          <w:lang w:eastAsia="ja-JP"/>
        </w:rPr>
        <w:t>入門：ピカソとキュビズム</w:t>
      </w:r>
    </w:p>
    <w:p w14:paraId="586214AE" w14:textId="77777777" w:rsidR="002241FB" w:rsidRDefault="00000000">
      <w:pPr>
        <w:spacing w:after="60"/>
        <w:ind w:left="360"/>
        <w:rPr>
          <w:lang w:eastAsia="ja-JP"/>
        </w:rPr>
      </w:pPr>
      <w:r>
        <w:rPr>
          <w:lang w:eastAsia="ja-JP"/>
        </w:rPr>
        <w:t>初級：ピカソとポール・スミス</w:t>
      </w:r>
    </w:p>
    <w:p w14:paraId="45C0431C" w14:textId="77777777" w:rsidR="002241FB" w:rsidRDefault="00000000">
      <w:pPr>
        <w:spacing w:before="140" w:after="20"/>
        <w:rPr>
          <w:lang w:eastAsia="ja-JP"/>
        </w:rPr>
      </w:pPr>
      <w:r>
        <w:rPr>
          <w:b/>
          <w:sz w:val="23"/>
          <w:lang w:eastAsia="ja-JP"/>
        </w:rPr>
        <w:t>第5回　紅茶 ― 生活文化・歴史</w:t>
      </w:r>
    </w:p>
    <w:p w14:paraId="7BDB5239" w14:textId="77777777" w:rsidR="002241FB" w:rsidRDefault="00000000">
      <w:pPr>
        <w:spacing w:after="0"/>
        <w:ind w:left="360"/>
        <w:rPr>
          <w:lang w:eastAsia="ja-JP"/>
        </w:rPr>
      </w:pPr>
      <w:r>
        <w:rPr>
          <w:lang w:eastAsia="ja-JP"/>
        </w:rPr>
        <w:t>入門：アフタヌーンティー</w:t>
      </w:r>
    </w:p>
    <w:p w14:paraId="27EE58BC" w14:textId="77777777" w:rsidR="002241FB" w:rsidRDefault="00000000">
      <w:pPr>
        <w:spacing w:after="60"/>
        <w:ind w:left="360"/>
        <w:rPr>
          <w:lang w:eastAsia="ja-JP"/>
        </w:rPr>
      </w:pPr>
      <w:r>
        <w:rPr>
          <w:lang w:eastAsia="ja-JP"/>
        </w:rPr>
        <w:t>初級：紅茶と東インド会社</w:t>
      </w:r>
    </w:p>
    <w:p w14:paraId="7DCED9DE" w14:textId="77777777" w:rsidR="002241FB" w:rsidRDefault="00000000">
      <w:pPr>
        <w:spacing w:before="140" w:after="20"/>
        <w:rPr>
          <w:lang w:eastAsia="ja-JP"/>
        </w:rPr>
      </w:pPr>
      <w:r>
        <w:rPr>
          <w:b/>
          <w:sz w:val="23"/>
          <w:lang w:eastAsia="ja-JP"/>
        </w:rPr>
        <w:lastRenderedPageBreak/>
        <w:t>第6回　陶磁器 ― 工芸・交易史</w:t>
      </w:r>
    </w:p>
    <w:p w14:paraId="038914FC" w14:textId="77777777" w:rsidR="002241FB" w:rsidRDefault="00000000">
      <w:pPr>
        <w:spacing w:after="0"/>
        <w:ind w:left="360"/>
        <w:rPr>
          <w:lang w:eastAsia="ja-JP"/>
        </w:rPr>
      </w:pPr>
      <w:r>
        <w:rPr>
          <w:lang w:eastAsia="ja-JP"/>
        </w:rPr>
        <w:t>入門：白い金 ― 磁器の物語</w:t>
      </w:r>
    </w:p>
    <w:p w14:paraId="3CF6BA6C" w14:textId="77777777" w:rsidR="002241FB" w:rsidRDefault="00000000">
      <w:pPr>
        <w:spacing w:after="60"/>
        <w:ind w:left="360"/>
        <w:rPr>
          <w:lang w:eastAsia="ja-JP"/>
        </w:rPr>
      </w:pPr>
      <w:r>
        <w:rPr>
          <w:lang w:eastAsia="ja-JP"/>
        </w:rPr>
        <w:t>初級：ヨーロッパ陶磁器と柿右衛門</w:t>
      </w:r>
    </w:p>
    <w:p w14:paraId="605AA7E2" w14:textId="77777777" w:rsidR="002241FB" w:rsidRDefault="00000000">
      <w:pPr>
        <w:spacing w:before="140" w:after="20"/>
        <w:rPr>
          <w:lang w:eastAsia="ja-JP"/>
        </w:rPr>
      </w:pPr>
      <w:r>
        <w:rPr>
          <w:b/>
          <w:sz w:val="23"/>
          <w:lang w:eastAsia="ja-JP"/>
        </w:rPr>
        <w:t>第7回　銀食器 ― 生活文化・科学</w:t>
      </w:r>
    </w:p>
    <w:p w14:paraId="10E78376" w14:textId="77777777" w:rsidR="002241FB" w:rsidRDefault="00000000">
      <w:pPr>
        <w:spacing w:after="0"/>
        <w:ind w:left="360"/>
        <w:rPr>
          <w:lang w:eastAsia="ja-JP"/>
        </w:rPr>
      </w:pPr>
      <w:r>
        <w:rPr>
          <w:lang w:eastAsia="ja-JP"/>
        </w:rPr>
        <w:t>入門：銀の殺菌作用</w:t>
      </w:r>
    </w:p>
    <w:p w14:paraId="1CAB1119" w14:textId="77777777" w:rsidR="002241FB" w:rsidRDefault="00000000">
      <w:pPr>
        <w:spacing w:after="60"/>
        <w:ind w:left="360"/>
        <w:rPr>
          <w:lang w:eastAsia="ja-JP"/>
        </w:rPr>
      </w:pPr>
      <w:r>
        <w:rPr>
          <w:lang w:eastAsia="ja-JP"/>
        </w:rPr>
        <w:t>初級：銀食器と宮廷文化</w:t>
      </w:r>
    </w:p>
    <w:p w14:paraId="69BBADA4" w14:textId="77777777" w:rsidR="002241FB" w:rsidRDefault="00000000">
      <w:pPr>
        <w:pStyle w:val="TNSubhead"/>
        <w:keepNext/>
      </w:pPr>
      <w:r>
        <w:t>講義例：「Coffee in Vienna」</w:t>
      </w:r>
    </w:p>
    <w:p w14:paraId="60016A4E" w14:textId="77777777" w:rsidR="002241FB" w:rsidRDefault="00000000">
      <w:pPr>
        <w:rPr>
          <w:lang w:eastAsia="ja-JP"/>
        </w:rPr>
      </w:pPr>
      <w:r>
        <w:rPr>
          <w:lang w:eastAsia="ja-JP"/>
        </w:rPr>
        <w:t>たとえば第2回「Coffee in Vienna」では、1683年のウィーンとオスマン帝国との戦いを入口として、コーヒーがどのようにウィーン文化の一部となり、やがてコーヒーハウスが新聞、政治、芸術、文学、人々の交流の場へと発展していったのかを英語で学びます。</w:t>
      </w:r>
    </w:p>
    <w:p w14:paraId="31582A99" w14:textId="77777777" w:rsidR="002241FB" w:rsidRDefault="00000000">
      <w:pPr>
        <w:jc w:val="center"/>
      </w:pPr>
      <w:r>
        <w:rPr>
          <w:noProof/>
        </w:rPr>
        <w:drawing>
          <wp:inline distT="0" distB="0" distL="0" distR="0" wp14:anchorId="0E9685B6" wp14:editId="4B473529">
            <wp:extent cx="3232987" cy="1932215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c9f0160-f2d0-4e46-a494-239860a2c47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4055" cy="19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6F784" w14:textId="77777777" w:rsidR="002241FB" w:rsidRDefault="00000000">
      <w:pPr>
        <w:pStyle w:val="TNSmall"/>
        <w:jc w:val="center"/>
      </w:pPr>
      <w:r>
        <w:t>講義用動画「The Story of Coffee in Vienna」の一場面</w:t>
      </w:r>
    </w:p>
    <w:p w14:paraId="6F3244D0" w14:textId="77777777" w:rsidR="002241FB" w:rsidRDefault="00000000">
      <w:r>
        <w:t>教材では本文を読むだけでなく、重要語彙や実用表現、基本文法、発音、Q&amp;A、One Point Lesson、Further Readingなども組み合わせています。</w:t>
      </w:r>
    </w:p>
    <w:p w14:paraId="7686D2CD" w14:textId="77777777" w:rsidR="002241FB" w:rsidRDefault="00000000">
      <w:pPr>
        <w:rPr>
          <w:lang w:eastAsia="ja-JP"/>
        </w:rPr>
      </w:pPr>
      <w:r>
        <w:rPr>
          <w:lang w:eastAsia="ja-JP"/>
        </w:rPr>
        <w:t xml:space="preserve">たとえば </w:t>
      </w:r>
      <w:r>
        <w:rPr>
          <w:b/>
          <w:i/>
          <w:lang w:eastAsia="ja-JP"/>
        </w:rPr>
        <w:t>more than just ...</w:t>
      </w:r>
      <w:r>
        <w:rPr>
          <w:lang w:eastAsia="ja-JP"/>
        </w:rPr>
        <w:t xml:space="preserve">（「単なる～以上のもの」）という表現を取り上げた際には、本文中の </w:t>
      </w:r>
      <w:r>
        <w:rPr>
          <w:b/>
          <w:i/>
          <w:lang w:eastAsia="ja-JP"/>
        </w:rPr>
        <w:t>Coffee is more than just a drink.</w:t>
      </w:r>
      <w:r>
        <w:rPr>
          <w:lang w:eastAsia="ja-JP"/>
        </w:rPr>
        <w:t>（「コーヒーは単なる飲み物以上のものです」）という一文を出発点に、別の話題にも応用しながら、自分の考えを英語で表現する練習へと発展させます。</w:t>
      </w:r>
    </w:p>
    <w:p w14:paraId="2D51EA66" w14:textId="77777777" w:rsidR="002241FB" w:rsidRDefault="00000000">
      <w:pPr>
        <w:rPr>
          <w:lang w:eastAsia="ja-JP"/>
        </w:rPr>
      </w:pPr>
      <w:r>
        <w:rPr>
          <w:lang w:eastAsia="ja-JP"/>
        </w:rPr>
        <w:t>このように、文章を理解するだけで終わらず、そこで学んだ英語を実際に使える表現へとつなげていくことも、この講座の特徴の一つです。</w:t>
      </w:r>
    </w:p>
    <w:p w14:paraId="3A9A227F" w14:textId="77777777" w:rsidR="002241FB" w:rsidRDefault="00000000">
      <w:pPr>
        <w:pStyle w:val="TNSubhead"/>
        <w:keepNext/>
        <w:rPr>
          <w:lang w:eastAsia="ja-JP"/>
        </w:rPr>
      </w:pPr>
      <w:r>
        <w:rPr>
          <w:lang w:eastAsia="ja-JP"/>
        </w:rPr>
        <w:t>レベルに応じた学び</w:t>
      </w:r>
    </w:p>
    <w:p w14:paraId="462A3B00" w14:textId="77777777" w:rsidR="002241FB" w:rsidRDefault="00000000">
      <w:pPr>
        <w:rPr>
          <w:lang w:eastAsia="ja-JP"/>
        </w:rPr>
      </w:pPr>
      <w:r>
        <w:rPr>
          <w:lang w:eastAsia="ja-JP"/>
        </w:rPr>
        <w:t>入門クラスでは中学1・2年程度のやさしい英語を、初級クラスでは中学2・3年程度の英語を基本としながら、それぞれのレベルに応じた教材を使用しています。</w:t>
      </w:r>
    </w:p>
    <w:p w14:paraId="5D26592C" w14:textId="77777777" w:rsidR="002241FB" w:rsidRDefault="00000000">
      <w:pPr>
        <w:rPr>
          <w:lang w:eastAsia="ja-JP"/>
        </w:rPr>
      </w:pPr>
      <w:r>
        <w:rPr>
          <w:lang w:eastAsia="ja-JP"/>
        </w:rPr>
        <w:t>受講生の年齢や英語経験はさまざまです。そのため、知識を一方的に教えるのではなく、それぞれのレベルで「分かった」「伝わった」「世界が少し身近になった」と感じていただける授業づくりを心がけています。</w:t>
      </w:r>
    </w:p>
    <w:p w14:paraId="2337D596" w14:textId="77777777" w:rsidR="002241FB" w:rsidRDefault="00000000">
      <w:pPr>
        <w:pStyle w:val="TNSubhead"/>
        <w:keepNext/>
        <w:rPr>
          <w:lang w:eastAsia="ja-JP"/>
        </w:rPr>
      </w:pPr>
      <w:r>
        <w:rPr>
          <w:lang w:eastAsia="ja-JP"/>
        </w:rPr>
        <w:lastRenderedPageBreak/>
        <w:t>次のシリーズ「地中海を巡る旅」</w:t>
      </w:r>
    </w:p>
    <w:p w14:paraId="3009A4D9" w14:textId="77777777" w:rsidR="002241FB" w:rsidRDefault="00000000">
      <w:pPr>
        <w:rPr>
          <w:lang w:eastAsia="ja-JP"/>
        </w:rPr>
      </w:pPr>
      <w:r>
        <w:rPr>
          <w:lang w:eastAsia="ja-JP"/>
        </w:rPr>
        <w:t>さらに、次のシリーズとして「地中海を巡る旅」をテーマにした教材も準備しています。</w:t>
      </w:r>
    </w:p>
    <w:p w14:paraId="7D05EC00" w14:textId="77777777" w:rsidR="002241FB" w:rsidRDefault="00000000">
      <w:pPr>
        <w:rPr>
          <w:lang w:eastAsia="ja-JP"/>
        </w:rPr>
      </w:pPr>
      <w:r>
        <w:rPr>
          <w:lang w:eastAsia="ja-JP"/>
        </w:rPr>
        <w:t>フラメンコ、ガウディ、コート・ダジュール、ルネサンス、パルテノン神殿、イスタンブール、トルコ料理、ナイル川、スフィンクス、カサブランカ、サハラ砂漠などを取り上げ、地中海世界を巡りながら、歴史・芸術・文化・食・社会について英語で楽しく学ぶ構成を予定しています。</w:t>
      </w:r>
    </w:p>
    <w:p w14:paraId="673BADAA" w14:textId="77777777" w:rsidR="002241FB" w:rsidRDefault="00000000">
      <w:pPr>
        <w:rPr>
          <w:lang w:eastAsia="ja-JP"/>
        </w:rPr>
      </w:pPr>
      <w:r>
        <w:rPr>
          <w:b/>
          <w:color w:val="1F4E79"/>
          <w:lang w:eastAsia="ja-JP"/>
        </w:rPr>
        <w:t>現在のシリーズでも、次の「地中海を巡る旅」でも共通しているのは、英語を通じて世界のさまざまな情報を楽しく学び、世界への興味を広げていくことです。</w:t>
      </w:r>
    </w:p>
    <w:p w14:paraId="778241B9" w14:textId="77777777" w:rsidR="002241FB" w:rsidRDefault="00000000">
      <w:pPr>
        <w:pStyle w:val="TNSubhead"/>
        <w:keepNext/>
        <w:rPr>
          <w:lang w:eastAsia="ja-JP"/>
        </w:rPr>
      </w:pPr>
      <w:r>
        <w:rPr>
          <w:lang w:eastAsia="ja-JP"/>
        </w:rPr>
        <w:t>Top Notchの取り組み</w:t>
      </w:r>
    </w:p>
    <w:p w14:paraId="5B2056C8" w14:textId="77777777" w:rsidR="002241FB" w:rsidRDefault="00000000">
      <w:pPr>
        <w:rPr>
          <w:lang w:eastAsia="ja-JP"/>
        </w:rPr>
      </w:pPr>
      <w:r>
        <w:rPr>
          <w:lang w:eastAsia="ja-JP"/>
        </w:rPr>
        <w:t>英語を学ぶこと自体を目的にするのではなく、英語を道具として世界を知り、自分の考えを広げ、それを表現する楽しさにつなげることが、この講座の目標です。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2241FB" w14:paraId="165984AC" w14:textId="77777777">
        <w:trPr>
          <w:jc w:val="center"/>
        </w:trPr>
        <w:tc>
          <w:tcPr>
            <w:tcW w:w="9972" w:type="dxa"/>
            <w:shd w:val="clear" w:color="auto" w:fill="F2F6FA"/>
          </w:tcPr>
          <w:p w14:paraId="02AE2B2C" w14:textId="77777777" w:rsidR="002241FB" w:rsidRDefault="00000000">
            <w:pPr>
              <w:spacing w:before="60" w:after="60"/>
              <w:jc w:val="center"/>
            </w:pPr>
            <w:r>
              <w:rPr>
                <w:b/>
                <w:i/>
                <w:color w:val="1F4E79"/>
                <w:sz w:val="24"/>
              </w:rPr>
              <w:t>“This course is more than just learning English.”</w:t>
            </w:r>
          </w:p>
          <w:p w14:paraId="6EBAFBC4" w14:textId="77777777" w:rsidR="002241FB" w:rsidRDefault="00000000">
            <w:pPr>
              <w:spacing w:before="60" w:after="60"/>
              <w:jc w:val="center"/>
              <w:rPr>
                <w:lang w:eastAsia="ja-JP"/>
              </w:rPr>
            </w:pPr>
            <w:r>
              <w:rPr>
                <w:lang w:eastAsia="ja-JP"/>
              </w:rPr>
              <w:t>この講座は、単に英語を学ぶだけではなく、英語を通じて世界を知り、楽しむことを目指しています。</w:t>
            </w:r>
          </w:p>
        </w:tc>
      </w:tr>
    </w:tbl>
    <w:p w14:paraId="03436546" w14:textId="77777777" w:rsidR="002241FB" w:rsidRDefault="00000000">
      <w:pPr>
        <w:spacing w:before="200"/>
        <w:rPr>
          <w:lang w:eastAsia="ja-JP"/>
        </w:rPr>
      </w:pPr>
      <w:r>
        <w:rPr>
          <w:lang w:eastAsia="ja-JP"/>
        </w:rPr>
        <w:t>Top Notch Inc.では、海外ビジネスや翻訳などの実務に加えて、英語教育や国際理解を通じて、人と人、そして日本と世界をつなぐ活動にも継続して取り組んでいます。</w:t>
      </w:r>
    </w:p>
    <w:p w14:paraId="4B90D70A" w14:textId="77777777" w:rsidR="002241FB" w:rsidRDefault="00000000">
      <w:pPr>
        <w:pStyle w:val="TNSmall"/>
        <w:rPr>
          <w:lang w:eastAsia="ja-JP"/>
        </w:rPr>
      </w:pPr>
      <w:r>
        <w:rPr>
          <w:lang w:eastAsia="ja-JP"/>
        </w:rPr>
        <w:t>※講義テーマ・内容は、進行状況等により変更する場合があります。</w:t>
      </w:r>
    </w:p>
    <w:sectPr w:rsidR="002241FB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B4F96" w14:textId="77777777" w:rsidR="005B2CDA" w:rsidRDefault="005B2CDA">
      <w:pPr>
        <w:spacing w:after="0" w:line="240" w:lineRule="auto"/>
      </w:pPr>
      <w:r>
        <w:separator/>
      </w:r>
    </w:p>
  </w:endnote>
  <w:endnote w:type="continuationSeparator" w:id="0">
    <w:p w14:paraId="323ECCD2" w14:textId="77777777" w:rsidR="005B2CDA" w:rsidRDefault="005B2C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Noto Sans CJK JP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">
    <w:panose1 w:val="020B0502040504090204"/>
    <w:charset w:val="00"/>
    <w:family w:val="swiss"/>
    <w:pitch w:val="variable"/>
    <w:sig w:usb0="E0000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D5FB3" w14:textId="77777777" w:rsidR="002241FB" w:rsidRDefault="00000000">
    <w:pPr>
      <w:pStyle w:val="a7"/>
      <w:jc w:val="right"/>
    </w:pPr>
    <w:r>
      <w:rPr>
        <w:rFonts w:ascii="Noto Sans" w:hAnsi="Noto Sans"/>
        <w:color w:val="787878"/>
        <w:sz w:val="16"/>
      </w:rPr>
      <w:t>Top Notch Inc. | Activity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04939" w14:textId="77777777" w:rsidR="005B2CDA" w:rsidRDefault="005B2CDA">
      <w:pPr>
        <w:spacing w:after="0" w:line="240" w:lineRule="auto"/>
      </w:pPr>
      <w:r>
        <w:separator/>
      </w:r>
    </w:p>
  </w:footnote>
  <w:footnote w:type="continuationSeparator" w:id="0">
    <w:p w14:paraId="5C8320CB" w14:textId="77777777" w:rsidR="005B2CDA" w:rsidRDefault="005B2C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3233895">
    <w:abstractNumId w:val="8"/>
  </w:num>
  <w:num w:numId="2" w16cid:durableId="761074169">
    <w:abstractNumId w:val="6"/>
  </w:num>
  <w:num w:numId="3" w16cid:durableId="2056390202">
    <w:abstractNumId w:val="5"/>
  </w:num>
  <w:num w:numId="4" w16cid:durableId="1461532294">
    <w:abstractNumId w:val="4"/>
  </w:num>
  <w:num w:numId="5" w16cid:durableId="1808548844">
    <w:abstractNumId w:val="7"/>
  </w:num>
  <w:num w:numId="6" w16cid:durableId="442188346">
    <w:abstractNumId w:val="3"/>
  </w:num>
  <w:num w:numId="7" w16cid:durableId="2063823125">
    <w:abstractNumId w:val="2"/>
  </w:num>
  <w:num w:numId="8" w16cid:durableId="817455658">
    <w:abstractNumId w:val="1"/>
  </w:num>
  <w:num w:numId="9" w16cid:durableId="1755277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1FB"/>
    <w:rsid w:val="0029639D"/>
    <w:rsid w:val="00326F90"/>
    <w:rsid w:val="00390FF2"/>
    <w:rsid w:val="005B2CDA"/>
    <w:rsid w:val="00AA1D8D"/>
    <w:rsid w:val="00B47730"/>
    <w:rsid w:val="00CB0664"/>
    <w:rsid w:val="00E63E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EF01254"/>
  <w14:defaultImageDpi w14:val="300"/>
  <w15:docId w15:val="{B1CFB104-1448-4A67-84E5-CD44B2E35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24" w:lineRule="auto"/>
    </w:pPr>
    <w:rPr>
      <w:rFonts w:ascii="Noto Sans CJK JP" w:eastAsia="Noto Sans CJK JP" w:hAnsi="Noto Sans CJK JP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NTitle">
    <w:name w:val="TN Title"/>
    <w:pPr>
      <w:spacing w:after="160"/>
    </w:pPr>
    <w:rPr>
      <w:rFonts w:ascii="Noto Sans CJK JP" w:eastAsia="Noto Sans CJK JP" w:hAnsi="Noto Sans CJK JP"/>
      <w:b/>
      <w:color w:val="1F2937"/>
      <w:sz w:val="40"/>
    </w:rPr>
  </w:style>
  <w:style w:type="paragraph" w:customStyle="1" w:styleId="TNSubhead">
    <w:name w:val="TN Subhead"/>
    <w:pPr>
      <w:spacing w:before="240" w:after="100"/>
    </w:pPr>
    <w:rPr>
      <w:rFonts w:ascii="Noto Sans CJK JP" w:eastAsia="Noto Sans CJK JP" w:hAnsi="Noto Sans CJK JP"/>
      <w:b/>
      <w:color w:val="1F4E79"/>
      <w:sz w:val="25"/>
    </w:rPr>
  </w:style>
  <w:style w:type="paragraph" w:customStyle="1" w:styleId="TNLead">
    <w:name w:val="TN Lead"/>
    <w:pPr>
      <w:spacing w:after="240"/>
    </w:pPr>
    <w:rPr>
      <w:rFonts w:ascii="Noto Sans CJK JP" w:eastAsia="Noto Sans CJK JP" w:hAnsi="Noto Sans CJK JP"/>
      <w:color w:val="374151"/>
      <w:sz w:val="23"/>
    </w:rPr>
  </w:style>
  <w:style w:type="paragraph" w:customStyle="1" w:styleId="TNSmall">
    <w:name w:val="TN Small"/>
    <w:pPr>
      <w:spacing w:before="40" w:after="120"/>
    </w:pPr>
    <w:rPr>
      <w:rFonts w:ascii="Noto Sans CJK JP" w:eastAsia="Noto Sans CJK JP" w:hAnsi="Noto Sans CJK JP"/>
      <w:color w:val="6B728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カルッツかわさき「世界を楽しむ、やさしい大人の英会話」講座を開催</dc:title>
  <dc:subject>Top Notch Inc. 活動報告</dc:subject>
  <dc:creator>Top Notch Inc.</dc:creator>
  <cp:keywords/>
  <dc:description>generated by python-docx</dc:description>
  <cp:lastModifiedBy>修 馬場崎</cp:lastModifiedBy>
  <cp:revision>2</cp:revision>
  <dcterms:created xsi:type="dcterms:W3CDTF">2013-12-23T23:15:00Z</dcterms:created>
  <dcterms:modified xsi:type="dcterms:W3CDTF">2026-08-17T03:04:00Z</dcterms:modified>
  <cp:category/>
</cp:coreProperties>
</file>