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v32qysps7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Исследование клиентского опыта банков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9y55jlced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Название проекта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Исследование клиентского опыта взаимодействия с банками: барьеры и драйверы лояльности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7yjo5nd0c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Цели исследования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Выявить ключевые факторы выбора банка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Определить основные боли клиентов при использовании банковских услуг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Понять, что удерживает клиентов в текущем банке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Найти возможности для улучшения клиентского опыта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ve2oq7caw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Исследовательские вопросы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Какие факторы влияют на выбор основного банка?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Какие проблемы чаще всего возникают при использовании банковских услуг?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Что мотивирует клиентов оставаться в банке несмотря на проблемы?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Как клиенты решают возникающие проблемы с банком?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Какие каналы коммуникации предпочитают разные группы клиентов?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Что клиенты ценят больше всего в банковском обслуживании?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x0vkgrv22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Активные пользователи банковских услуг 25-55 лет, имеющие счета минимум в 2 банках, совершающие операции не реже 1 раза в неделю. Микс из разных сегментов: наемные сотрудники, предприниматели, фрилансеры.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6klgawof2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Размер выборки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 человек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yeoikt2we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Метод исследования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Глубинные интервью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8ma6f8fh2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Стейкхолдеры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Продукт-менеджер, UX-дизайнер, Руководитель digital-канала, Маркетолог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sul75jjt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Модератор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Мария Иванова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4d4680m8f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Даты проведения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15-30 января 2024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dz0dtm3o9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География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Москва, Санкт-Петербург, Екатеринбург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7qerobnm2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успеха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Получены ответы на все исследовательские вопросы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Выявлены минимум 5 ключевых болей клиентов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Сформированы персоны основных клиентских сегментов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Разработаны конкретные рекомендации по улучшению сервиса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bp5yvmkgs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Ограничения исследования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Бюджет ограничен 12 интервью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Только городское население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Фокус на digital-каналах обслуживания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Нет доступа к клиентам премиум-сегмента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