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6C5E" w14:textId="28F8B264" w:rsidR="0084784E" w:rsidRPr="00D00FB4" w:rsidRDefault="00E027D3" w:rsidP="0084784E">
      <w:pPr>
        <w:pStyle w:val="Subtitle"/>
        <w:spacing w:after="240" w:line="240" w:lineRule="auto"/>
        <w:rPr>
          <w:sz w:val="34"/>
          <w:szCs w:val="34"/>
        </w:rPr>
      </w:pPr>
      <w:r>
        <w:rPr>
          <w:rFonts w:eastAsia="Times New Roman"/>
          <w:sz w:val="34"/>
          <w:szCs w:val="34"/>
        </w:rPr>
        <w:t xml:space="preserve">Technical Indicators and </w:t>
      </w:r>
      <w:r w:rsidR="00347411">
        <w:rPr>
          <w:rFonts w:eastAsia="Times New Roman"/>
          <w:sz w:val="34"/>
          <w:szCs w:val="34"/>
        </w:rPr>
        <w:t xml:space="preserve">Theoretically </w:t>
      </w:r>
      <w:r w:rsidR="00792D1C">
        <w:rPr>
          <w:rFonts w:eastAsia="Times New Roman"/>
          <w:sz w:val="34"/>
          <w:szCs w:val="34"/>
        </w:rPr>
        <w:t>Optimal Strategy Analysis</w:t>
      </w:r>
    </w:p>
    <w:p w14:paraId="5F871ED8" w14:textId="18B9BBDE" w:rsidR="00FF7B33" w:rsidRDefault="00275E24" w:rsidP="00126D77">
      <w:pPr>
        <w:pStyle w:val="Subtitle"/>
      </w:pPr>
      <w:r>
        <w:t>Umar Rafi</w:t>
      </w:r>
      <w:r w:rsidR="00FF7B33">
        <w:br/>
      </w:r>
      <w:hyperlink r:id="rId8" w:history="1">
        <w:r w:rsidR="00D74D33" w:rsidRPr="003B74EA">
          <w:rPr>
            <w:rStyle w:val="Hyperlink"/>
          </w:rPr>
          <w:t>urafi3@gatech.edu</w:t>
        </w:r>
      </w:hyperlink>
    </w:p>
    <w:p w14:paraId="293C3066" w14:textId="77777777" w:rsidR="00D74D33" w:rsidRPr="00D74D33" w:rsidRDefault="00D74D33" w:rsidP="00D74D33"/>
    <w:p w14:paraId="2186EF48" w14:textId="4FBC61C5" w:rsidR="00784B78" w:rsidRDefault="001C52FB" w:rsidP="0054029E">
      <w:pPr>
        <w:pStyle w:val="Abstract"/>
        <w:rPr>
          <w:rFonts w:eastAsiaTheme="minorHAnsi"/>
        </w:rPr>
      </w:pPr>
      <w:r w:rsidRPr="0054029E">
        <w:rPr>
          <w:b/>
          <w:bCs/>
          <w:i/>
          <w:iCs/>
        </w:rPr>
        <w:t>Abstract</w:t>
      </w:r>
      <w:r w:rsidR="002E20C6" w:rsidRPr="0054029E">
        <w:rPr>
          <w:b/>
          <w:bCs/>
          <w:i/>
          <w:iCs/>
        </w:rPr>
        <w:t>—</w:t>
      </w:r>
      <w:r w:rsidR="00BD1CB0" w:rsidRPr="00BD1CB0">
        <w:rPr>
          <w:rFonts w:ascii="Segoe UI" w:hAnsi="Segoe UI" w:cs="Segoe UI"/>
          <w:color w:val="404040"/>
          <w:shd w:val="clear" w:color="auto" w:fill="FFFFFF"/>
        </w:rPr>
        <w:t xml:space="preserve"> </w:t>
      </w:r>
      <w:r w:rsidR="0084784E">
        <w:t xml:space="preserve">This report analyzes five key technical indicators—Simple Moving </w:t>
      </w:r>
      <w:r w:rsidR="002E0536">
        <w:t>Average (</w:t>
      </w:r>
      <w:r w:rsidR="0084784E">
        <w:t>SMA), Exponential Moving Average (EMA), Momentum, Bollinger Bands, and MACD (</w:t>
      </w:r>
      <w:r w:rsidR="0084784E" w:rsidRPr="0084784E">
        <w:t xml:space="preserve">Moving </w:t>
      </w:r>
      <w:r w:rsidR="002E0536" w:rsidRPr="0084784E">
        <w:t>Average</w:t>
      </w:r>
      <w:r w:rsidR="0084784E" w:rsidRPr="0084784E">
        <w:t xml:space="preserve"> Divergence</w:t>
      </w:r>
      <w:r w:rsidR="0084784E">
        <w:t>)—to evaluate their effectiveness in stock trend analysis and trade signal generation. Using JPM stock data from 2008–2009, each indicator is mathematically defined, interpreted, and visualized. Additionally, a Theoretically Optimal Strategy assuming perfect future price knowledge is implemented as a benchmark. Performance comparison reveals the potential upper bound of trading returns. This study provides foundational insights for developing data-driven trading strategies and demonstrates the practical use of technical indicators in financial analysis.</w:t>
      </w:r>
    </w:p>
    <w:p w14:paraId="585CCB8F" w14:textId="49DC4444" w:rsidR="00E86A2D" w:rsidRPr="009B7A17" w:rsidRDefault="00E86A2D" w:rsidP="00E86A2D">
      <w:pPr>
        <w:pStyle w:val="Heading1"/>
      </w:pPr>
      <w:r>
        <w:t>INTRODUCTION</w:t>
      </w:r>
    </w:p>
    <w:p w14:paraId="02CE5A1B" w14:textId="77777777" w:rsidR="00E86A2D" w:rsidRDefault="00E86A2D" w:rsidP="00D00FB4">
      <w:pPr>
        <w:pStyle w:val="BulletedList"/>
        <w:numPr>
          <w:ilvl w:val="0"/>
          <w:numId w:val="0"/>
        </w:numPr>
        <w:spacing w:after="110"/>
        <w:contextualSpacing w:val="0"/>
      </w:pPr>
      <w:r w:rsidRPr="00E86A2D">
        <w:t>In the ever-evolving landscape of financial markets, traders and analysts constantly seek methods to extract insights from historical data to make informed decisions. Technical indicators, which are mathematical constructs derived from price and volume data, offer a systematic way to identify trends, momentum shifts, and potential turning points in asset prices.</w:t>
      </w:r>
    </w:p>
    <w:p w14:paraId="061595F6" w14:textId="66F4A6C7" w:rsidR="00E86A2D" w:rsidRDefault="00E86A2D" w:rsidP="00D00FB4">
      <w:pPr>
        <w:pStyle w:val="BulletedList"/>
        <w:numPr>
          <w:ilvl w:val="0"/>
          <w:numId w:val="0"/>
        </w:numPr>
        <w:spacing w:after="110"/>
        <w:contextualSpacing w:val="0"/>
      </w:pPr>
      <w:r w:rsidRPr="00E86A2D">
        <w:t>The motivation behind this work lies in understanding how these indicators can be used to develop rule-based trading strategies. By studying market behavior during volatile periods, such as the 2008 financial crisis, we can evaluate the reliability and interpretability of technical signals. Furthermore, comparing realistic strategies with a theoretically optimal trading approach highlights the performance limits achievable under perfect foresight.</w:t>
      </w:r>
    </w:p>
    <w:p w14:paraId="47D061E3" w14:textId="77777777" w:rsidR="00E811DF" w:rsidRDefault="00E811DF" w:rsidP="00D00FB4">
      <w:pPr>
        <w:pStyle w:val="BulletedList"/>
        <w:numPr>
          <w:ilvl w:val="0"/>
          <w:numId w:val="0"/>
        </w:numPr>
        <w:spacing w:after="110"/>
        <w:contextualSpacing w:val="0"/>
      </w:pPr>
    </w:p>
    <w:p w14:paraId="0A3630BA" w14:textId="6BCF6C32" w:rsidR="00C45E88" w:rsidRPr="00C45E88" w:rsidRDefault="00C45E88" w:rsidP="005F1416">
      <w:pPr>
        <w:pStyle w:val="TableCaption"/>
        <w:numPr>
          <w:ilvl w:val="0"/>
          <w:numId w:val="0"/>
        </w:numPr>
        <w:ind w:left="1440"/>
        <w:rPr>
          <w:color w:val="EE0000"/>
        </w:rPr>
      </w:pPr>
    </w:p>
    <w:p w14:paraId="4C0B66D1" w14:textId="483B8F11" w:rsidR="00E263D2" w:rsidRPr="00E263D2" w:rsidRDefault="00BB0A8D" w:rsidP="00BB0A8D">
      <w:pPr>
        <w:pStyle w:val="Heading1"/>
      </w:pPr>
      <w:r w:rsidRPr="00E263D2">
        <w:t>TECHNICAL INDICATORS</w:t>
      </w:r>
    </w:p>
    <w:p w14:paraId="6C74465A" w14:textId="03F4DA00" w:rsidR="00E263D2" w:rsidRPr="00E263D2" w:rsidRDefault="00E263D2" w:rsidP="003C6820">
      <w:pPr>
        <w:pStyle w:val="Abstract"/>
        <w:ind w:left="-86" w:right="0"/>
      </w:pPr>
      <w:r w:rsidRPr="00E263D2">
        <w:t xml:space="preserve">This section examines five widely used technical indicators—Simple Moving Average (SMA), Exponential Moving Average (EMA), Momentum, Bollinger Bands, and Moving Average </w:t>
      </w:r>
      <w:r w:rsidR="002E0536" w:rsidRPr="00E263D2">
        <w:t>Convergence</w:t>
      </w:r>
      <w:r w:rsidRPr="00E263D2">
        <w:t xml:space="preserve"> (</w:t>
      </w:r>
      <w:r w:rsidR="002E0536" w:rsidRPr="00E263D2">
        <w:t>MACD)</w:t>
      </w:r>
      <w:r w:rsidR="00E811DF">
        <w:t xml:space="preserve"> </w:t>
      </w:r>
      <w:r w:rsidRPr="00E263D2">
        <w:t>applied to JPMorgan Chase (JPM) stock data from January 2008 to December 2009. Each indicator is mathematically defined, its practical purpose explained, and its buy/sell signal logic discussed. Each is illustrated with a corresponding chart.</w:t>
      </w:r>
    </w:p>
    <w:p w14:paraId="172D198C" w14:textId="796992E5" w:rsidR="00E263D2" w:rsidRPr="00E263D2" w:rsidRDefault="00673339" w:rsidP="00E263D2">
      <w:pPr>
        <w:pStyle w:val="Abstract"/>
        <w:ind w:left="-90"/>
        <w:rPr>
          <w:b/>
          <w:bCs/>
        </w:rPr>
      </w:pPr>
      <w:r>
        <w:rPr>
          <w:b/>
          <w:bCs/>
        </w:rPr>
        <w:t>2</w:t>
      </w:r>
      <w:r w:rsidR="00E263D2" w:rsidRPr="00E263D2">
        <w:rPr>
          <w:b/>
          <w:bCs/>
        </w:rPr>
        <w:t>.1 Simple Moving Average (SMA)</w:t>
      </w:r>
    </w:p>
    <w:p w14:paraId="3839DE3C" w14:textId="0F0FA2AC" w:rsidR="00E263D2" w:rsidRPr="00E263D2" w:rsidRDefault="00E263D2" w:rsidP="00E811DF">
      <w:pPr>
        <w:pStyle w:val="Abstract"/>
        <w:ind w:left="-86" w:right="0"/>
      </w:pPr>
      <w:r w:rsidRPr="00E263D2">
        <w:t>The Simple Moving Average smooths historical prices by computing the</w:t>
      </w:r>
      <w:r w:rsidR="00E811DF">
        <w:t xml:space="preserve"> </w:t>
      </w:r>
      <w:r w:rsidRPr="00E263D2">
        <w:t>unweighted mean over a defined rolling window:</w:t>
      </w:r>
    </w:p>
    <w:p w14:paraId="0E973C83" w14:textId="7050A8E0" w:rsidR="00E263D2" w:rsidRPr="00E263D2" w:rsidRDefault="00E263D2" w:rsidP="00E263D2">
      <w:pPr>
        <w:pStyle w:val="Abstract"/>
        <w:ind w:left="-86"/>
      </w:pPr>
      <m:oMathPara>
        <m:oMath>
          <m:r>
            <w:rPr>
              <w:rFonts w:ascii="Cambria Math" w:hAnsi="Cambria Math"/>
            </w:rPr>
            <m:t>SMAₜ = (1⁄n) × ∑ⁿ⁻¹ᵢ₌₀ Pₜ₋ᵢ</m:t>
          </m:r>
        </m:oMath>
      </m:oMathPara>
    </w:p>
    <w:p w14:paraId="6F22658E" w14:textId="635BD6CA" w:rsidR="005B5814" w:rsidRDefault="000473E1" w:rsidP="00E263D2">
      <w:pPr>
        <w:rPr>
          <w:spacing w:val="0"/>
          <w:kern w:val="0"/>
          <w14:ligatures w14:val="none"/>
          <w14:numForm w14:val="default"/>
          <w14:numSpacing w14:val="default"/>
        </w:rPr>
      </w:pPr>
      <w:r>
        <w:rPr>
          <w:noProof/>
          <w:spacing w:val="0"/>
          <w:kern w:val="0"/>
          <w14:ligatures w14:val="none"/>
          <w14:numForm w14:val="default"/>
          <w14:numSpacing w14:val="default"/>
        </w:rPr>
        <w:drawing>
          <wp:anchor distT="0" distB="0" distL="114300" distR="114300" simplePos="0" relativeHeight="251696128" behindDoc="0" locked="0" layoutInCell="1" allowOverlap="1" wp14:anchorId="3A08AD14" wp14:editId="286E35F8">
            <wp:simplePos x="0" y="0"/>
            <wp:positionH relativeFrom="margin">
              <wp:posOffset>285750</wp:posOffset>
            </wp:positionH>
            <wp:positionV relativeFrom="page">
              <wp:posOffset>5492750</wp:posOffset>
            </wp:positionV>
            <wp:extent cx="4502150" cy="2698115"/>
            <wp:effectExtent l="0" t="0" r="0" b="6985"/>
            <wp:wrapTopAndBottom/>
            <wp:docPr id="2012797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2150" cy="2698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63D2" w:rsidRPr="00E263D2">
        <w:rPr>
          <w:spacing w:val="0"/>
          <w:kern w:val="0"/>
          <w14:ligatures w14:val="none"/>
          <w14:numForm w14:val="default"/>
          <w14:numSpacing w14:val="default"/>
        </w:rPr>
        <w:t xml:space="preserve">Here, </w:t>
      </w:r>
      <w:proofErr w:type="gramStart"/>
      <w:r w:rsidR="002E0536">
        <w:rPr>
          <w:spacing w:val="0"/>
          <w:kern w:val="0"/>
          <w14:ligatures w14:val="none"/>
          <w14:numForm w14:val="default"/>
          <w14:numSpacing w14:val="default"/>
        </w:rPr>
        <w:t>P</w:t>
      </w:r>
      <w:r w:rsidR="002E0536" w:rsidRPr="00E263D2">
        <w:rPr>
          <w:spacing w:val="0"/>
          <w:kern w:val="0"/>
          <w:vertAlign w:val="subscript"/>
          <w14:ligatures w14:val="none"/>
          <w14:numForm w14:val="default"/>
          <w14:numSpacing w14:val="default"/>
        </w:rPr>
        <w:t xml:space="preserve">t </w:t>
      </w:r>
      <w:r w:rsidR="00E811DF">
        <w:rPr>
          <w:spacing w:val="0"/>
          <w:kern w:val="0"/>
          <w:vertAlign w:val="subscript"/>
          <w14:ligatures w14:val="none"/>
          <w14:numForm w14:val="default"/>
          <w14:numSpacing w14:val="default"/>
        </w:rPr>
        <w:t xml:space="preserve"> </w:t>
      </w:r>
      <w:r w:rsidR="00E811DF">
        <w:rPr>
          <w:spacing w:val="0"/>
          <w:kern w:val="0"/>
          <w14:ligatures w14:val="none"/>
          <w14:numForm w14:val="default"/>
          <w14:numSpacing w14:val="default"/>
        </w:rPr>
        <w:t>is</w:t>
      </w:r>
      <w:proofErr w:type="gramEnd"/>
      <w:r w:rsidR="00E811DF">
        <w:rPr>
          <w:spacing w:val="0"/>
          <w:kern w:val="0"/>
          <w14:ligatures w14:val="none"/>
          <w14:numForm w14:val="default"/>
          <w14:numSpacing w14:val="default"/>
        </w:rPr>
        <w:t xml:space="preserve"> t</w:t>
      </w:r>
      <w:r w:rsidR="00E263D2">
        <w:rPr>
          <w:spacing w:val="0"/>
          <w:kern w:val="0"/>
          <w14:ligatures w14:val="none"/>
          <w14:numForm w14:val="default"/>
          <w14:numSpacing w14:val="default"/>
        </w:rPr>
        <w:t>he</w:t>
      </w:r>
      <w:r w:rsidR="00E263D2" w:rsidRPr="00E263D2">
        <w:rPr>
          <w:spacing w:val="0"/>
          <w:kern w:val="0"/>
          <w14:ligatures w14:val="none"/>
          <w14:numForm w14:val="default"/>
          <w14:numSpacing w14:val="default"/>
        </w:rPr>
        <w:t xml:space="preserve"> price on day t, and </w:t>
      </w:r>
      <w:r w:rsidR="00E263D2">
        <w:rPr>
          <w:spacing w:val="0"/>
          <w:kern w:val="0"/>
          <w14:ligatures w14:val="none"/>
          <w14:numForm w14:val="default"/>
          <w14:numSpacing w14:val="default"/>
        </w:rPr>
        <w:t>n</w:t>
      </w:r>
      <w:r w:rsidR="00E263D2" w:rsidRPr="00E263D2">
        <w:rPr>
          <w:spacing w:val="0"/>
          <w:kern w:val="0"/>
          <w14:ligatures w14:val="none"/>
          <w14:numForm w14:val="default"/>
          <w14:numSpacing w14:val="default"/>
        </w:rPr>
        <w:t xml:space="preserve"> is the window size (e.g., 20 days). SMA highlights long-term price trends and reduces market noise. A price crossing above the SMA indicates potential upward momentum (buy signal), while a cross below the SMA suggests a trend reversal or decline (sell signal). SMA’s delayed responsiveness makes it more effective when combined with quicker indicators</w:t>
      </w:r>
      <w:r w:rsidR="00784262">
        <w:rPr>
          <w:spacing w:val="0"/>
          <w:kern w:val="0"/>
          <w14:ligatures w14:val="none"/>
          <w14:numForm w14:val="default"/>
          <w14:numSpacing w14:val="default"/>
        </w:rPr>
        <w:t>.</w:t>
      </w:r>
    </w:p>
    <w:p w14:paraId="51568D3D" w14:textId="77777777" w:rsidR="0050301B" w:rsidRPr="00E263D2" w:rsidRDefault="0050301B" w:rsidP="0050301B">
      <w:pPr>
        <w:ind w:left="-90"/>
        <w:jc w:val="center"/>
        <w:rPr>
          <w:spacing w:val="0"/>
          <w:kern w:val="0"/>
          <w:sz w:val="17"/>
          <w:szCs w:val="17"/>
          <w14:ligatures w14:val="none"/>
          <w14:numForm w14:val="default"/>
          <w14:numSpacing w14:val="default"/>
        </w:rPr>
      </w:pPr>
      <w:r w:rsidRPr="00E263D2">
        <w:rPr>
          <w:b/>
          <w:bCs/>
          <w:i/>
          <w:iCs/>
          <w:spacing w:val="0"/>
          <w:kern w:val="0"/>
          <w:sz w:val="17"/>
          <w:szCs w:val="17"/>
          <w14:ligatures w14:val="none"/>
          <w14:numForm w14:val="default"/>
          <w14:numSpacing w14:val="default"/>
        </w:rPr>
        <w:t>Figure 1</w:t>
      </w:r>
      <w:r w:rsidRPr="00E263D2">
        <w:rPr>
          <w:spacing w:val="0"/>
          <w:kern w:val="0"/>
          <w:sz w:val="17"/>
          <w:szCs w:val="17"/>
          <w14:ligatures w14:val="none"/>
          <w14:numForm w14:val="default"/>
          <w14:numSpacing w14:val="default"/>
        </w:rPr>
        <w:t xml:space="preserve"> </w:t>
      </w:r>
      <w:r>
        <w:rPr>
          <w:spacing w:val="0"/>
          <w:kern w:val="0"/>
          <w:sz w:val="17"/>
          <w:szCs w:val="17"/>
          <w14:ligatures w14:val="none"/>
          <w14:numForm w14:val="default"/>
          <w14:numSpacing w14:val="default"/>
        </w:rPr>
        <w:t xml:space="preserve">- </w:t>
      </w:r>
      <w:r w:rsidRPr="00784262">
        <w:rPr>
          <w:spacing w:val="0"/>
          <w:kern w:val="0"/>
          <w:sz w:val="17"/>
          <w:szCs w:val="17"/>
          <w14:ligatures w14:val="none"/>
          <w14:numForm w14:val="default"/>
          <w14:numSpacing w14:val="default"/>
        </w:rPr>
        <w:t>Simple Moving Average (SMA) Indicator Chart</w:t>
      </w:r>
    </w:p>
    <w:p w14:paraId="5A19E674" w14:textId="3308CE90" w:rsidR="004563FE" w:rsidRDefault="00673339" w:rsidP="004563FE">
      <w:pPr>
        <w:pStyle w:val="Abstract"/>
        <w:ind w:left="-90"/>
        <w:rPr>
          <w:b/>
          <w:bCs/>
          <w:i/>
          <w:iCs/>
        </w:rPr>
      </w:pPr>
      <w:r>
        <w:rPr>
          <w:b/>
          <w:bCs/>
        </w:rPr>
        <w:lastRenderedPageBreak/>
        <w:t>2</w:t>
      </w:r>
      <w:r w:rsidR="00F14A2E">
        <w:rPr>
          <w:b/>
          <w:bCs/>
        </w:rPr>
        <w:t>.1.1 Trade</w:t>
      </w:r>
      <w:r w:rsidR="004563FE" w:rsidRPr="004563FE">
        <w:rPr>
          <w:b/>
          <w:bCs/>
          <w:i/>
          <w:iCs/>
        </w:rPr>
        <w:t xml:space="preserve"> Decision / Strategy</w:t>
      </w:r>
    </w:p>
    <w:p w14:paraId="2331091D" w14:textId="692549B5" w:rsidR="00A020B7" w:rsidRPr="00A020B7" w:rsidRDefault="00A020B7" w:rsidP="00A020B7">
      <w:pPr>
        <w:rPr>
          <w:spacing w:val="0"/>
          <w:kern w:val="0"/>
          <w14:ligatures w14:val="none"/>
          <w14:numForm w14:val="default"/>
          <w14:numSpacing w14:val="default"/>
        </w:rPr>
      </w:pPr>
      <w:r w:rsidRPr="00A020B7">
        <w:rPr>
          <w:spacing w:val="0"/>
          <w:kern w:val="0"/>
          <w14:ligatures w14:val="none"/>
          <w14:numForm w14:val="default"/>
          <w14:numSpacing w14:val="default"/>
        </w:rPr>
        <w:t xml:space="preserve">A long position is triggered when the price crosses above the SMA, signaling an uptrend, while a short position occurs when the price crosses below, indicating a downtrend. If the price remains near the SMA without a clear crossover, holding cash helps avoid false signals. Trade decisions can be confirmed using other indicators such as Momentum or MACD. To reduce noise, </w:t>
      </w:r>
      <w:proofErr w:type="gramStart"/>
      <w:r w:rsidRPr="00A020B7">
        <w:rPr>
          <w:spacing w:val="0"/>
          <w:kern w:val="0"/>
          <w14:ligatures w14:val="none"/>
          <w14:numForm w14:val="default"/>
          <w14:numSpacing w14:val="default"/>
        </w:rPr>
        <w:t>trades are</w:t>
      </w:r>
      <w:proofErr w:type="gramEnd"/>
      <w:r w:rsidRPr="00A020B7">
        <w:rPr>
          <w:spacing w:val="0"/>
          <w:kern w:val="0"/>
          <w14:ligatures w14:val="none"/>
          <w14:numForm w14:val="default"/>
          <w14:numSpacing w14:val="default"/>
        </w:rPr>
        <w:t xml:space="preserve"> only executed if the price stays consistently above or below </w:t>
      </w:r>
      <w:proofErr w:type="gramStart"/>
      <w:r w:rsidRPr="00A020B7">
        <w:rPr>
          <w:spacing w:val="0"/>
          <w:kern w:val="0"/>
          <w14:ligatures w14:val="none"/>
          <w14:numForm w14:val="default"/>
          <w14:numSpacing w14:val="default"/>
        </w:rPr>
        <w:t>the SMA</w:t>
      </w:r>
      <w:proofErr w:type="gramEnd"/>
      <w:r w:rsidRPr="00A020B7">
        <w:rPr>
          <w:spacing w:val="0"/>
          <w:kern w:val="0"/>
          <w14:ligatures w14:val="none"/>
          <w14:numForm w14:val="default"/>
          <w14:numSpacing w14:val="default"/>
        </w:rPr>
        <w:t xml:space="preserve"> for several days, filtering out minor fluctuations. For visualization, </w:t>
      </w:r>
      <w:r w:rsidR="00046755">
        <w:rPr>
          <w:spacing w:val="0"/>
          <w:kern w:val="0"/>
          <w14:ligatures w14:val="none"/>
          <w14:numForm w14:val="default"/>
          <w14:numSpacing w14:val="default"/>
        </w:rPr>
        <w:t>the</w:t>
      </w:r>
      <w:r w:rsidRPr="00A020B7">
        <w:rPr>
          <w:spacing w:val="0"/>
          <w:kern w:val="0"/>
          <w14:ligatures w14:val="none"/>
          <w14:numForm w14:val="default"/>
          <w14:numSpacing w14:val="default"/>
        </w:rPr>
        <w:t xml:space="preserve"> chart </w:t>
      </w:r>
      <w:r w:rsidR="00F3429A">
        <w:rPr>
          <w:spacing w:val="0"/>
          <w:kern w:val="0"/>
          <w14:ligatures w14:val="none"/>
          <w14:numForm w14:val="default"/>
          <w14:numSpacing w14:val="default"/>
        </w:rPr>
        <w:t xml:space="preserve">(in Figure 1) </w:t>
      </w:r>
      <w:r w:rsidRPr="00A020B7">
        <w:rPr>
          <w:spacing w:val="0"/>
          <w:kern w:val="0"/>
          <w14:ligatures w14:val="none"/>
          <w14:numForm w14:val="default"/>
          <w14:numSpacing w14:val="default"/>
        </w:rPr>
        <w:t>display</w:t>
      </w:r>
      <w:r w:rsidR="00046755">
        <w:rPr>
          <w:spacing w:val="0"/>
          <w:kern w:val="0"/>
          <w14:ligatures w14:val="none"/>
          <w14:numForm w14:val="default"/>
          <w14:numSpacing w14:val="default"/>
        </w:rPr>
        <w:t>s</w:t>
      </w:r>
      <w:r w:rsidRPr="00A020B7">
        <w:rPr>
          <w:spacing w:val="0"/>
          <w:kern w:val="0"/>
          <w14:ligatures w14:val="none"/>
          <w14:numForm w14:val="default"/>
          <w14:numSpacing w14:val="default"/>
        </w:rPr>
        <w:t xml:space="preserve"> the normalized price and SMA lines, </w:t>
      </w:r>
      <w:r w:rsidR="00F3429A">
        <w:rPr>
          <w:spacing w:val="0"/>
          <w:kern w:val="0"/>
          <w14:ligatures w14:val="none"/>
          <w14:numForm w14:val="default"/>
          <w14:numSpacing w14:val="default"/>
        </w:rPr>
        <w:t>(</w:t>
      </w:r>
      <w:r w:rsidRPr="00A020B7">
        <w:rPr>
          <w:spacing w:val="0"/>
          <w:kern w:val="0"/>
          <w14:ligatures w14:val="none"/>
          <w14:numForm w14:val="default"/>
          <w14:numSpacing w14:val="default"/>
        </w:rPr>
        <w:t>and optionally the price-to-SMA ratio,</w:t>
      </w:r>
      <w:r w:rsidR="00F3429A">
        <w:rPr>
          <w:spacing w:val="0"/>
          <w:kern w:val="0"/>
          <w14:ligatures w14:val="none"/>
          <w14:numForm w14:val="default"/>
          <w14:numSpacing w14:val="default"/>
        </w:rPr>
        <w:t>)</w:t>
      </w:r>
      <w:r w:rsidRPr="00A020B7">
        <w:rPr>
          <w:spacing w:val="0"/>
          <w:kern w:val="0"/>
          <w14:ligatures w14:val="none"/>
          <w14:numForm w14:val="default"/>
          <w14:numSpacing w14:val="default"/>
        </w:rPr>
        <w:t xml:space="preserve"> all scaled to 1.0 at the start of the period to make comparisons clear and intuitive.</w:t>
      </w:r>
    </w:p>
    <w:p w14:paraId="7824C708" w14:textId="08DCE848" w:rsidR="00E263D2" w:rsidRDefault="00673339" w:rsidP="00E263D2">
      <w:pPr>
        <w:pStyle w:val="Abstract"/>
        <w:ind w:left="-90"/>
        <w:rPr>
          <w:b/>
          <w:bCs/>
        </w:rPr>
      </w:pPr>
      <w:r>
        <w:rPr>
          <w:b/>
          <w:bCs/>
        </w:rPr>
        <w:t>2</w:t>
      </w:r>
      <w:r w:rsidR="00E263D2" w:rsidRPr="00E263D2">
        <w:rPr>
          <w:b/>
          <w:bCs/>
        </w:rPr>
        <w:t>.2 Exponential Moving Average (EMA)</w:t>
      </w:r>
    </w:p>
    <w:p w14:paraId="02BE7914" w14:textId="66A917F8" w:rsidR="00F57A75" w:rsidRDefault="00F57A75" w:rsidP="00F57A75">
      <w:pPr>
        <w:pStyle w:val="Abstract"/>
        <w:ind w:left="-86"/>
      </w:pPr>
      <w:r w:rsidRPr="00E263D2">
        <w:t xml:space="preserve">EMA emphasizes recent prices using the recursive </w:t>
      </w:r>
      <w:r w:rsidR="00F14A2E" w:rsidRPr="00E263D2">
        <w:t>formula.</w:t>
      </w:r>
    </w:p>
    <w:p w14:paraId="75D98818" w14:textId="087D1D97" w:rsidR="008E41F2" w:rsidRPr="00B74F0A" w:rsidRDefault="008E41F2" w:rsidP="008E41F2">
      <w:pPr>
        <w:pStyle w:val="Abstract"/>
        <w:ind w:left="-86"/>
        <w:jc w:val="center"/>
      </w:pPr>
      <w:r w:rsidRPr="00B74F0A">
        <w:t>EMA</w:t>
      </w:r>
      <w:r w:rsidRPr="00B74F0A">
        <w:rPr>
          <w:rFonts w:ascii="Cambria Math" w:hAnsi="Cambria Math" w:cs="Cambria Math"/>
        </w:rPr>
        <w:t>ₜ</w:t>
      </w:r>
      <w:r w:rsidRPr="00B74F0A">
        <w:t xml:space="preserve"> = </w:t>
      </w:r>
      <w:r w:rsidRPr="00B74F0A">
        <w:rPr>
          <w:rFonts w:cs="Palatino Linotype"/>
        </w:rPr>
        <w:t>α·</w:t>
      </w:r>
      <w:r w:rsidRPr="00B74F0A">
        <w:t>P</w:t>
      </w:r>
      <w:r w:rsidRPr="00B74F0A">
        <w:rPr>
          <w:rFonts w:ascii="Cambria Math" w:hAnsi="Cambria Math" w:cs="Cambria Math"/>
        </w:rPr>
        <w:t>ₜ</w:t>
      </w:r>
      <w:r w:rsidRPr="00B74F0A">
        <w:t xml:space="preserve"> + (1 </w:t>
      </w:r>
      <w:r w:rsidRPr="00B74F0A">
        <w:rPr>
          <w:rFonts w:cs="Palatino Linotype"/>
        </w:rPr>
        <w:t>−</w:t>
      </w:r>
      <w:r w:rsidRPr="00B74F0A">
        <w:t xml:space="preserve"> </w:t>
      </w:r>
      <w:r w:rsidRPr="00B74F0A">
        <w:rPr>
          <w:rFonts w:cs="Palatino Linotype"/>
        </w:rPr>
        <w:t>α</w:t>
      </w:r>
      <w:r w:rsidRPr="00B74F0A">
        <w:t>)</w:t>
      </w:r>
      <w:r w:rsidRPr="00B74F0A">
        <w:rPr>
          <w:rFonts w:cs="Palatino Linotype"/>
        </w:rPr>
        <w:t xml:space="preserve"> ·</w:t>
      </w:r>
      <w:r w:rsidRPr="00B74F0A">
        <w:t>EMA</w:t>
      </w:r>
      <w:r w:rsidRPr="00B74F0A">
        <w:rPr>
          <w:rFonts w:ascii="Cambria Math" w:hAnsi="Cambria Math" w:cs="Cambria Math"/>
        </w:rPr>
        <w:t>ₜ</w:t>
      </w:r>
      <w:r w:rsidRPr="00B74F0A">
        <w:rPr>
          <w:rFonts w:cs="Palatino Linotype"/>
        </w:rPr>
        <w:t>₋</w:t>
      </w:r>
      <w:proofErr w:type="gramStart"/>
      <w:r w:rsidRPr="00B74F0A">
        <w:rPr>
          <w:rFonts w:cs="Palatino Linotype"/>
        </w:rPr>
        <w:t>₁</w:t>
      </w:r>
      <w:r>
        <w:t xml:space="preserve">;   </w:t>
      </w:r>
      <w:proofErr w:type="gramEnd"/>
      <w:r>
        <w:t xml:space="preserve">   </w:t>
      </w:r>
      <w:r w:rsidRPr="00B74F0A">
        <w:t xml:space="preserve"> where </w:t>
      </w:r>
      <w:r w:rsidRPr="00B74F0A">
        <w:rPr>
          <w:rFonts w:cs="Palatino Linotype"/>
        </w:rPr>
        <w:t>α</w:t>
      </w:r>
      <w:r w:rsidRPr="00B74F0A">
        <w:t xml:space="preserve"> = 2</w:t>
      </w:r>
      <w:r w:rsidRPr="00B74F0A">
        <w:rPr>
          <w:rFonts w:cs="Palatino Linotype"/>
        </w:rPr>
        <w:t>⁄</w:t>
      </w:r>
      <w:r w:rsidRPr="00B74F0A">
        <w:t xml:space="preserve"> (n + 1)</w:t>
      </w:r>
    </w:p>
    <w:p w14:paraId="30B8D91B" w14:textId="0A1034E4" w:rsidR="00F57A75" w:rsidRDefault="00CD3D98" w:rsidP="00986488">
      <w:pPr>
        <w:pStyle w:val="Abstract"/>
        <w:tabs>
          <w:tab w:val="left" w:pos="6840"/>
        </w:tabs>
        <w:ind w:left="-86" w:right="0"/>
      </w:pPr>
      <w:r>
        <w:rPr>
          <w:b/>
          <w:bCs/>
          <w:noProof/>
        </w:rPr>
        <w:drawing>
          <wp:anchor distT="0" distB="0" distL="114300" distR="114300" simplePos="0" relativeHeight="251699200" behindDoc="0" locked="0" layoutInCell="1" allowOverlap="1" wp14:anchorId="528CF17F" wp14:editId="1D2DAF47">
            <wp:simplePos x="0" y="0"/>
            <wp:positionH relativeFrom="column">
              <wp:posOffset>76200</wp:posOffset>
            </wp:positionH>
            <wp:positionV relativeFrom="page">
              <wp:posOffset>5092700</wp:posOffset>
            </wp:positionV>
            <wp:extent cx="4648200" cy="2786380"/>
            <wp:effectExtent l="0" t="0" r="0" b="0"/>
            <wp:wrapTopAndBottom/>
            <wp:docPr id="4511579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2786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41F2" w:rsidRPr="00E263D2">
        <w:t>EMA reacts more quickly to price changes than SMA. A crossover above the EMA</w:t>
      </w:r>
      <w:r w:rsidR="00986488">
        <w:t xml:space="preserve"> </w:t>
      </w:r>
      <w:r w:rsidR="008E41F2" w:rsidRPr="00E263D2">
        <w:t>line may indicate bullish conditions, while a crossover below suggests bearish momentum. EMA is preferred for responsive short-term trading strategies.</w:t>
      </w:r>
    </w:p>
    <w:p w14:paraId="30D11631" w14:textId="4B9903D6" w:rsidR="005D6EC9" w:rsidRDefault="005D6EC9" w:rsidP="009027B9">
      <w:pPr>
        <w:pStyle w:val="Abstract"/>
        <w:ind w:left="-90"/>
        <w:rPr>
          <w:b/>
          <w:bCs/>
        </w:rPr>
      </w:pPr>
      <w:r>
        <w:rPr>
          <w:noProof/>
          <w14:ligatures w14:val="none"/>
          <w14:numForm w14:val="default"/>
          <w14:numSpacing w14:val="default"/>
        </w:rPr>
        <mc:AlternateContent>
          <mc:Choice Requires="wps">
            <w:drawing>
              <wp:anchor distT="0" distB="0" distL="114300" distR="114300" simplePos="0" relativeHeight="251698176" behindDoc="0" locked="0" layoutInCell="1" allowOverlap="1" wp14:anchorId="542B9FAA" wp14:editId="7D900117">
                <wp:simplePos x="0" y="0"/>
                <wp:positionH relativeFrom="margin">
                  <wp:posOffset>520700</wp:posOffset>
                </wp:positionH>
                <wp:positionV relativeFrom="paragraph">
                  <wp:posOffset>2910205</wp:posOffset>
                </wp:positionV>
                <wp:extent cx="3644900" cy="355600"/>
                <wp:effectExtent l="0" t="0" r="0" b="6350"/>
                <wp:wrapNone/>
                <wp:docPr id="2074625357" name="Text Box 8"/>
                <wp:cNvGraphicFramePr/>
                <a:graphic xmlns:a="http://schemas.openxmlformats.org/drawingml/2006/main">
                  <a:graphicData uri="http://schemas.microsoft.com/office/word/2010/wordprocessingShape">
                    <wps:wsp>
                      <wps:cNvSpPr txBox="1"/>
                      <wps:spPr>
                        <a:xfrm>
                          <a:off x="0" y="0"/>
                          <a:ext cx="3644900" cy="355600"/>
                        </a:xfrm>
                        <a:prstGeom prst="rect">
                          <a:avLst/>
                        </a:prstGeom>
                        <a:solidFill>
                          <a:schemeClr val="lt1"/>
                        </a:solidFill>
                        <a:ln w="6350">
                          <a:noFill/>
                        </a:ln>
                      </wps:spPr>
                      <wps:txbx>
                        <w:txbxContent>
                          <w:p w14:paraId="604D2BE4" w14:textId="77777777" w:rsidR="005D6EC9" w:rsidRDefault="005D6EC9" w:rsidP="005D6EC9">
                            <w:pPr>
                              <w:pStyle w:val="Abstract"/>
                              <w:tabs>
                                <w:tab w:val="left" w:pos="6840"/>
                              </w:tabs>
                              <w:ind w:left="-86" w:right="0"/>
                              <w:jc w:val="center"/>
                              <w:rPr>
                                <w:sz w:val="17"/>
                                <w:szCs w:val="17"/>
                              </w:rPr>
                            </w:pPr>
                            <w:r w:rsidRPr="00E263D2">
                              <w:rPr>
                                <w:b/>
                                <w:bCs/>
                                <w:i/>
                                <w:iCs/>
                                <w:sz w:val="17"/>
                                <w:szCs w:val="17"/>
                              </w:rPr>
                              <w:t>Figure 2</w:t>
                            </w:r>
                            <w:r>
                              <w:rPr>
                                <w:i/>
                                <w:iCs/>
                                <w:sz w:val="17"/>
                                <w:szCs w:val="17"/>
                              </w:rPr>
                              <w:t xml:space="preserve"> -</w:t>
                            </w:r>
                            <w:r w:rsidRPr="00E263D2">
                              <w:rPr>
                                <w:sz w:val="17"/>
                                <w:szCs w:val="17"/>
                              </w:rPr>
                              <w:t xml:space="preserve"> </w:t>
                            </w:r>
                            <w:r w:rsidRPr="008E41F2">
                              <w:rPr>
                                <w:sz w:val="17"/>
                                <w:szCs w:val="17"/>
                              </w:rPr>
                              <w:t>EMA vs Normalized Price for Trend Detection</w:t>
                            </w:r>
                          </w:p>
                          <w:p w14:paraId="0B99BEB8" w14:textId="77777777" w:rsidR="005D6EC9" w:rsidRDefault="005D6EC9" w:rsidP="005D6EC9">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2B9FAA" id="_x0000_t202" coordsize="21600,21600" o:spt="202" path="m,l,21600r21600,l21600,xe">
                <v:stroke joinstyle="miter"/>
                <v:path gradientshapeok="t" o:connecttype="rect"/>
              </v:shapetype>
              <v:shape id="Text Box 8" o:spid="_x0000_s1026" type="#_x0000_t202" style="position:absolute;left:0;text-align:left;margin-left:41pt;margin-top:229.15pt;width:287pt;height:2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" fillcolor="white [3201]" stroked="f" strokeweight=".5pt">
                <v:textbox>
                  <w:txbxContent>
                    <w:p w14:paraId="604D2BE4" w14:textId="77777777" w:rsidR="005D6EC9" w:rsidRDefault="005D6EC9" w:rsidP="005D6EC9">
                      <w:pPr>
                        <w:pStyle w:val="Abstract"/>
                        <w:tabs>
                          <w:tab w:val="left" w:pos="6840"/>
                        </w:tabs>
                        <w:ind w:left="-86" w:right="0"/>
                        <w:jc w:val="center"/>
                        <w:rPr>
                          <w:sz w:val="17"/>
                          <w:szCs w:val="17"/>
                        </w:rPr>
                      </w:pPr>
                      <w:r w:rsidRPr="00E263D2">
                        <w:rPr>
                          <w:b/>
                          <w:bCs/>
                          <w:i/>
                          <w:iCs/>
                          <w:sz w:val="17"/>
                          <w:szCs w:val="17"/>
                        </w:rPr>
                        <w:t>Figure 2</w:t>
                      </w:r>
                      <w:r>
                        <w:rPr>
                          <w:i/>
                          <w:iCs/>
                          <w:sz w:val="17"/>
                          <w:szCs w:val="17"/>
                        </w:rPr>
                        <w:t xml:space="preserve"> -</w:t>
                      </w:r>
                      <w:r w:rsidRPr="00E263D2">
                        <w:rPr>
                          <w:sz w:val="17"/>
                          <w:szCs w:val="17"/>
                        </w:rPr>
                        <w:t xml:space="preserve"> </w:t>
                      </w:r>
                      <w:r w:rsidRPr="008E41F2">
                        <w:rPr>
                          <w:sz w:val="17"/>
                          <w:szCs w:val="17"/>
                        </w:rPr>
                        <w:t>EMA vs Normalized Price for Trend Detection</w:t>
                      </w:r>
                    </w:p>
                    <w:p w14:paraId="0B99BEB8" w14:textId="77777777" w:rsidR="005D6EC9" w:rsidRDefault="005D6EC9" w:rsidP="005D6EC9">
                      <w:pPr>
                        <w:jc w:val="center"/>
                      </w:pPr>
                    </w:p>
                  </w:txbxContent>
                </v:textbox>
                <w10:wrap anchorx="margin"/>
              </v:shape>
            </w:pict>
          </mc:Fallback>
        </mc:AlternateContent>
      </w:r>
    </w:p>
    <w:p w14:paraId="16F48C69" w14:textId="75C2FFAC" w:rsidR="00830B34" w:rsidRDefault="00830B34" w:rsidP="009027B9">
      <w:pPr>
        <w:pStyle w:val="Abstract"/>
        <w:ind w:left="-90"/>
        <w:rPr>
          <w:b/>
          <w:bCs/>
        </w:rPr>
      </w:pPr>
    </w:p>
    <w:p w14:paraId="668A4087" w14:textId="4BE13440" w:rsidR="009027B9" w:rsidRDefault="00673339" w:rsidP="009027B9">
      <w:pPr>
        <w:pStyle w:val="Abstract"/>
        <w:ind w:left="-90"/>
        <w:rPr>
          <w:b/>
          <w:bCs/>
          <w:i/>
          <w:iCs/>
        </w:rPr>
      </w:pPr>
      <w:r>
        <w:rPr>
          <w:b/>
          <w:bCs/>
        </w:rPr>
        <w:lastRenderedPageBreak/>
        <w:t>2</w:t>
      </w:r>
      <w:r w:rsidR="009027B9">
        <w:rPr>
          <w:b/>
          <w:bCs/>
        </w:rPr>
        <w:t xml:space="preserve">.2.1 </w:t>
      </w:r>
      <w:r w:rsidR="009027B9" w:rsidRPr="004563FE">
        <w:rPr>
          <w:b/>
          <w:bCs/>
          <w:i/>
          <w:iCs/>
        </w:rPr>
        <w:t>Trade Decision / Strategy</w:t>
      </w:r>
    </w:p>
    <w:p w14:paraId="27F1139D" w14:textId="593329F9" w:rsidR="009027B9" w:rsidRDefault="007C1BCB" w:rsidP="007C1BCB">
      <w:pPr>
        <w:pStyle w:val="Abstract"/>
        <w:tabs>
          <w:tab w:val="left" w:pos="6840"/>
        </w:tabs>
        <w:ind w:left="-86" w:right="0"/>
      </w:pPr>
      <w:r w:rsidRPr="007C1BCB">
        <w:t xml:space="preserve">A long position is initiated when the price moves above the EMA, indicating strengthening upward momentum, while a short position is taken when the price falls below the EMA, signaling potential downward momentum. If the price remains close to the EMA without clear crossover, holding cash is advisable to avoid false signals. Confirmation can be sought from other indicators like Momentum or MACD to validate trades. To minimize noise, </w:t>
      </w:r>
      <w:proofErr w:type="gramStart"/>
      <w:r w:rsidRPr="007C1BCB">
        <w:t>trades are</w:t>
      </w:r>
      <w:proofErr w:type="gramEnd"/>
      <w:r w:rsidRPr="007C1BCB">
        <w:t xml:space="preserve"> triggered only if the price stays above or below the EMA for a sustained period, reducing sensitivity to minor fluctuations. Visualization include</w:t>
      </w:r>
      <w:r w:rsidR="000A6628">
        <w:t>s</w:t>
      </w:r>
      <w:r w:rsidRPr="007C1BCB">
        <w:t xml:space="preserve"> a chart </w:t>
      </w:r>
      <w:r w:rsidR="000A6628">
        <w:t xml:space="preserve">(in Figure 2) </w:t>
      </w:r>
      <w:r w:rsidRPr="007C1BCB">
        <w:t>with normalized price and EMA lines</w:t>
      </w:r>
      <w:r w:rsidR="009B4A6B">
        <w:t xml:space="preserve"> (</w:t>
      </w:r>
      <w:r w:rsidRPr="007C1BCB">
        <w:t>optionally showing the price-to-EMA ratio</w:t>
      </w:r>
      <w:r w:rsidR="009B4A6B">
        <w:t>)</w:t>
      </w:r>
      <w:r w:rsidRPr="007C1BCB">
        <w:t>, all scaled to 1.0 at the start for easy comparison.</w:t>
      </w:r>
    </w:p>
    <w:p w14:paraId="7A2DAD75" w14:textId="0621D0BD" w:rsidR="00E263D2" w:rsidRDefault="00673339" w:rsidP="008E41F2">
      <w:pPr>
        <w:pStyle w:val="Abstract"/>
        <w:tabs>
          <w:tab w:val="left" w:pos="6840"/>
        </w:tabs>
        <w:ind w:left="-86" w:right="0"/>
        <w:rPr>
          <w:b/>
          <w:bCs/>
        </w:rPr>
      </w:pPr>
      <w:r>
        <w:rPr>
          <w:b/>
          <w:bCs/>
        </w:rPr>
        <w:t>2</w:t>
      </w:r>
      <w:r w:rsidR="00E263D2" w:rsidRPr="00E263D2">
        <w:rPr>
          <w:b/>
          <w:bCs/>
        </w:rPr>
        <w:t>.3 Momentum</w:t>
      </w:r>
    </w:p>
    <w:p w14:paraId="049CC603" w14:textId="0365D0A8" w:rsidR="003D5919" w:rsidRPr="003D5919" w:rsidRDefault="003D5919" w:rsidP="003D5919">
      <w:pPr>
        <w:pStyle w:val="Abstract"/>
        <w:tabs>
          <w:tab w:val="left" w:pos="6840"/>
        </w:tabs>
        <w:ind w:left="-86"/>
      </w:pPr>
      <w:r w:rsidRPr="003D5919">
        <w:t>Momentum is a leading indicator that quantifies the rate of change in price over a specified period. It is calculated as:</w:t>
      </w:r>
    </w:p>
    <w:p w14:paraId="0EE7C8A5" w14:textId="1E6C464A" w:rsidR="00031B1F" w:rsidRDefault="00031B1F" w:rsidP="00031B1F">
      <w:pPr>
        <w:pStyle w:val="Abstract"/>
        <w:tabs>
          <w:tab w:val="left" w:pos="6840"/>
        </w:tabs>
        <w:ind w:left="-86"/>
        <w:jc w:val="center"/>
      </w:pPr>
      <w:r w:rsidRPr="00031B1F">
        <w:t>Momentum</w:t>
      </w:r>
      <w:r w:rsidRPr="00031B1F">
        <w:rPr>
          <w:rFonts w:ascii="Cambria Math" w:hAnsi="Cambria Math" w:cs="Cambria Math"/>
        </w:rPr>
        <w:t>ₜ</w:t>
      </w:r>
      <w:r w:rsidRPr="00031B1F">
        <w:t xml:space="preserve"> = (P</w:t>
      </w:r>
      <w:r w:rsidRPr="00031B1F">
        <w:rPr>
          <w:rFonts w:ascii="Cambria Math" w:hAnsi="Cambria Math" w:cs="Cambria Math"/>
        </w:rPr>
        <w:t>ₜ</w:t>
      </w:r>
      <w:r w:rsidRPr="00031B1F">
        <w:t xml:space="preserve"> / P</w:t>
      </w:r>
      <w:r w:rsidRPr="00031B1F">
        <w:rPr>
          <w:rFonts w:ascii="Cambria Math" w:hAnsi="Cambria Math" w:cs="Cambria Math"/>
        </w:rPr>
        <w:t>ₜ</w:t>
      </w:r>
      <w:r w:rsidRPr="00031B1F">
        <w:rPr>
          <w:rFonts w:cs="Palatino Linotype"/>
        </w:rPr>
        <w:t>₋</w:t>
      </w:r>
      <w:r w:rsidRPr="00031B1F">
        <w:rPr>
          <w:rFonts w:ascii="Cambria Math" w:hAnsi="Cambria Math" w:cs="Cambria Math"/>
        </w:rPr>
        <w:t>ₙ</w:t>
      </w:r>
      <w:r w:rsidRPr="00031B1F">
        <w:t xml:space="preserve">) </w:t>
      </w:r>
      <w:r>
        <w:rPr>
          <w:rFonts w:cs="Palatino Linotype"/>
        </w:rPr>
        <w:t>–</w:t>
      </w:r>
      <w:r w:rsidRPr="00031B1F">
        <w:t xml:space="preserve"> 1</w:t>
      </w:r>
    </w:p>
    <w:p w14:paraId="7A4B8AEA" w14:textId="56FC18DD" w:rsidR="003D5919" w:rsidRPr="003D5919" w:rsidRDefault="008F448D" w:rsidP="003D5919">
      <w:pPr>
        <w:pStyle w:val="Abstract"/>
        <w:tabs>
          <w:tab w:val="left" w:pos="6840"/>
        </w:tabs>
        <w:ind w:left="-86"/>
      </w:pPr>
      <w:r>
        <w:rPr>
          <w:i/>
          <w:iCs/>
          <w:noProof/>
          <w:color w:val="EE0000"/>
        </w:rPr>
        <w:drawing>
          <wp:anchor distT="0" distB="0" distL="114300" distR="114300" simplePos="0" relativeHeight="251677696" behindDoc="1" locked="0" layoutInCell="1" allowOverlap="1" wp14:anchorId="2C03744B" wp14:editId="6E5E5031">
            <wp:simplePos x="0" y="0"/>
            <wp:positionH relativeFrom="margin">
              <wp:posOffset>274955</wp:posOffset>
            </wp:positionH>
            <wp:positionV relativeFrom="margin">
              <wp:posOffset>4610100</wp:posOffset>
            </wp:positionV>
            <wp:extent cx="4163060" cy="2495550"/>
            <wp:effectExtent l="0" t="0" r="8890" b="0"/>
            <wp:wrapTopAndBottom/>
            <wp:docPr id="1327121572" name="Picture 7"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21572" name="Picture 7" descr="A graph showing a number of blue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6306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5919" w:rsidRPr="003D5919">
        <w:t>where P</w:t>
      </w:r>
      <w:r w:rsidR="003D5919" w:rsidRPr="003D5919">
        <w:rPr>
          <w:vertAlign w:val="subscript"/>
        </w:rPr>
        <w:t>t</w:t>
      </w:r>
      <w:r w:rsidR="003D5919" w:rsidRPr="003D5919">
        <w:t>​ is the price at time t and P</w:t>
      </w:r>
      <w:r w:rsidR="003D5919" w:rsidRPr="003D5919">
        <w:rPr>
          <w:vertAlign w:val="subscript"/>
        </w:rPr>
        <w:t>t−n</w:t>
      </w:r>
      <w:r w:rsidR="003D5919" w:rsidRPr="003D5919">
        <w:t xml:space="preserve">​ is the price n days earlier. A positive momentum value implies that the </w:t>
      </w:r>
      <w:proofErr w:type="gramStart"/>
      <w:r w:rsidR="003D5919" w:rsidRPr="003D5919">
        <w:t>asset's</w:t>
      </w:r>
      <w:proofErr w:type="gramEnd"/>
      <w:r w:rsidR="003D5919" w:rsidRPr="003D5919">
        <w:t xml:space="preserve"> price has increased over the period, while a negative value suggests a decline.</w:t>
      </w:r>
    </w:p>
    <w:p w14:paraId="717EA31F" w14:textId="43553ACF" w:rsidR="008F448D" w:rsidRDefault="008F448D" w:rsidP="003D5919">
      <w:pPr>
        <w:pStyle w:val="Abstract"/>
        <w:tabs>
          <w:tab w:val="left" w:pos="6840"/>
        </w:tabs>
        <w:ind w:left="-86"/>
      </w:pPr>
      <w:r>
        <w:rPr>
          <w:i/>
          <w:iCs/>
          <w:noProof/>
          <w:color w:val="EE0000"/>
          <w14:ligatures w14:val="none"/>
          <w14:numForm w14:val="default"/>
          <w14:numSpacing w14:val="default"/>
        </w:rPr>
        <mc:AlternateContent>
          <mc:Choice Requires="wps">
            <w:drawing>
              <wp:anchor distT="0" distB="0" distL="114300" distR="114300" simplePos="0" relativeHeight="251701248" behindDoc="0" locked="0" layoutInCell="1" allowOverlap="1" wp14:anchorId="37BDFADB" wp14:editId="2B43362D">
                <wp:simplePos x="0" y="0"/>
                <wp:positionH relativeFrom="margin">
                  <wp:align>center</wp:align>
                </wp:positionH>
                <wp:positionV relativeFrom="paragraph">
                  <wp:posOffset>2674620</wp:posOffset>
                </wp:positionV>
                <wp:extent cx="2603500" cy="304800"/>
                <wp:effectExtent l="0" t="0" r="6350" b="0"/>
                <wp:wrapNone/>
                <wp:docPr id="691440470" name="Text Box 10"/>
                <wp:cNvGraphicFramePr/>
                <a:graphic xmlns:a="http://schemas.openxmlformats.org/drawingml/2006/main">
                  <a:graphicData uri="http://schemas.microsoft.com/office/word/2010/wordprocessingShape">
                    <wps:wsp>
                      <wps:cNvSpPr txBox="1"/>
                      <wps:spPr>
                        <a:xfrm>
                          <a:off x="0" y="0"/>
                          <a:ext cx="2603500" cy="304800"/>
                        </a:xfrm>
                        <a:prstGeom prst="rect">
                          <a:avLst/>
                        </a:prstGeom>
                        <a:solidFill>
                          <a:schemeClr val="lt1"/>
                        </a:solidFill>
                        <a:ln w="6350">
                          <a:noFill/>
                        </a:ln>
                      </wps:spPr>
                      <wps:txbx>
                        <w:txbxContent>
                          <w:p w14:paraId="2244C563" w14:textId="77777777" w:rsidR="008F448D" w:rsidRPr="003D5919" w:rsidRDefault="008F448D" w:rsidP="008F448D">
                            <w:pPr>
                              <w:jc w:val="center"/>
                              <w:rPr>
                                <w:sz w:val="17"/>
                                <w:szCs w:val="17"/>
                              </w:rPr>
                            </w:pPr>
                            <w:r w:rsidRPr="003D5919">
                              <w:rPr>
                                <w:b/>
                                <w:bCs/>
                                <w:i/>
                                <w:iCs/>
                                <w:sz w:val="17"/>
                                <w:szCs w:val="17"/>
                              </w:rPr>
                              <w:t>Figure 3</w:t>
                            </w:r>
                            <w:r w:rsidRPr="003D5919">
                              <w:rPr>
                                <w:sz w:val="17"/>
                                <w:szCs w:val="17"/>
                              </w:rPr>
                              <w:t>: Momentum Indicator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DFADB" id="Text Box 10" o:spid="_x0000_s1027" type="#_x0000_t202" style="position:absolute;left:0;text-align:left;margin-left:0;margin-top:210.6pt;width:205pt;height:24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" fillcolor="white [3201]" stroked="f" strokeweight=".5pt">
                <v:textbox>
                  <w:txbxContent>
                    <w:p w14:paraId="2244C563" w14:textId="77777777" w:rsidR="008F448D" w:rsidRPr="003D5919" w:rsidRDefault="008F448D" w:rsidP="008F448D">
                      <w:pPr>
                        <w:jc w:val="center"/>
                        <w:rPr>
                          <w:sz w:val="17"/>
                          <w:szCs w:val="17"/>
                        </w:rPr>
                      </w:pPr>
                      <w:r w:rsidRPr="003D5919">
                        <w:rPr>
                          <w:b/>
                          <w:bCs/>
                          <w:i/>
                          <w:iCs/>
                          <w:sz w:val="17"/>
                          <w:szCs w:val="17"/>
                        </w:rPr>
                        <w:t>Figure 3</w:t>
                      </w:r>
                      <w:r w:rsidRPr="003D5919">
                        <w:rPr>
                          <w:sz w:val="17"/>
                          <w:szCs w:val="17"/>
                        </w:rPr>
                        <w:t>: Momentum Indicator Over Time</w:t>
                      </w:r>
                    </w:p>
                  </w:txbxContent>
                </v:textbox>
                <w10:wrap anchorx="margin"/>
              </v:shape>
            </w:pict>
          </mc:Fallback>
        </mc:AlternateContent>
      </w:r>
    </w:p>
    <w:p w14:paraId="3F1D1F21" w14:textId="34385E19" w:rsidR="003D5919" w:rsidRDefault="003D5919" w:rsidP="003D5919">
      <w:pPr>
        <w:pStyle w:val="Abstract"/>
        <w:tabs>
          <w:tab w:val="left" w:pos="6840"/>
        </w:tabs>
        <w:ind w:left="-86"/>
      </w:pPr>
      <w:r w:rsidRPr="003D5919">
        <w:lastRenderedPageBreak/>
        <w:t>This indicator is particularly useful in identifying the strength of ongoing trends. A rising momentum value may signal continued upward movement, encouraging buy decisions, whereas a falling value may indicate weakening strength or a potential reversal, supporting a sell decision. Traders often combine momentum with other indicators like SMA or Bollinger Bands to filter out noise and validate entry and exit points more effectively.</w:t>
      </w:r>
    </w:p>
    <w:p w14:paraId="648B5707" w14:textId="1E6E8A8C" w:rsidR="00FA0771" w:rsidRDefault="00673339" w:rsidP="00FA0771">
      <w:pPr>
        <w:pStyle w:val="Abstract"/>
        <w:ind w:left="-90"/>
        <w:rPr>
          <w:b/>
          <w:bCs/>
          <w:i/>
          <w:iCs/>
        </w:rPr>
      </w:pPr>
      <w:r>
        <w:rPr>
          <w:b/>
          <w:bCs/>
        </w:rPr>
        <w:t>2</w:t>
      </w:r>
      <w:r w:rsidR="00FA0771">
        <w:rPr>
          <w:b/>
          <w:bCs/>
        </w:rPr>
        <w:t>.</w:t>
      </w:r>
      <w:r w:rsidR="008A72D0">
        <w:rPr>
          <w:b/>
          <w:bCs/>
        </w:rPr>
        <w:t>3</w:t>
      </w:r>
      <w:r w:rsidR="00FA0771">
        <w:rPr>
          <w:b/>
          <w:bCs/>
        </w:rPr>
        <w:t xml:space="preserve">.1 </w:t>
      </w:r>
      <w:r w:rsidR="00FA0771" w:rsidRPr="004563FE">
        <w:rPr>
          <w:b/>
          <w:bCs/>
          <w:i/>
          <w:iCs/>
        </w:rPr>
        <w:t>Trade Decision / Strategy</w:t>
      </w:r>
    </w:p>
    <w:p w14:paraId="199F047B" w14:textId="4082028B" w:rsidR="00B64007" w:rsidRPr="00B64007" w:rsidRDefault="00B64007" w:rsidP="00B64007">
      <w:pPr>
        <w:pStyle w:val="Abstract"/>
        <w:tabs>
          <w:tab w:val="left" w:pos="6840"/>
        </w:tabs>
        <w:ind w:left="-86"/>
      </w:pPr>
      <w:r w:rsidRPr="00B64007">
        <w:t>A long position is signaled when the momentum indicator rises above zero, indicating that the current price is higher than the price a specified number of days ago, reflecting positive price momentum. Conversely, a short position is initiated when momentum falls below zero, signaling negative momentum and a potential downtrend. When momentum hovers around zero without a clear direction, the strategy suggests holding cash to avoid uncertain market conditions. Trade confirmation can be obtained by combining momentum with trend-following indicators like SMA or MACD to ensure the strength and reliability of the signal. To filter out noise and avoid false signals, trades are only executed when momentum crosses the zero line and remains above or below for a minimum number of days, reducing sensitivity to minor price fluctuations.</w:t>
      </w:r>
    </w:p>
    <w:p w14:paraId="5E459B39" w14:textId="73DD84B9" w:rsidR="00E263D2" w:rsidRPr="00E263D2" w:rsidRDefault="000305AA" w:rsidP="00E263D2">
      <w:pPr>
        <w:pStyle w:val="Abstract"/>
        <w:ind w:left="-90"/>
        <w:rPr>
          <w:b/>
          <w:bCs/>
        </w:rPr>
      </w:pPr>
      <w:r>
        <w:rPr>
          <w:noProof/>
        </w:rPr>
        <w:drawing>
          <wp:anchor distT="0" distB="0" distL="114300" distR="114300" simplePos="0" relativeHeight="251691008" behindDoc="0" locked="0" layoutInCell="1" allowOverlap="1" wp14:anchorId="7766536B" wp14:editId="637BF27C">
            <wp:simplePos x="0" y="0"/>
            <wp:positionH relativeFrom="margin">
              <wp:posOffset>361315</wp:posOffset>
            </wp:positionH>
            <wp:positionV relativeFrom="page">
              <wp:posOffset>5924550</wp:posOffset>
            </wp:positionV>
            <wp:extent cx="4076065" cy="2444750"/>
            <wp:effectExtent l="0" t="0" r="635" b="0"/>
            <wp:wrapTopAndBottom/>
            <wp:docPr id="1340111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6065" cy="2444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3339">
        <w:rPr>
          <w:b/>
          <w:bCs/>
        </w:rPr>
        <w:t>2</w:t>
      </w:r>
      <w:r w:rsidR="00E263D2" w:rsidRPr="00E263D2">
        <w:rPr>
          <w:b/>
          <w:bCs/>
        </w:rPr>
        <w:t>.4 Bollinger Bands (BB)</w:t>
      </w:r>
    </w:p>
    <w:p w14:paraId="61523C37" w14:textId="5082EAB4" w:rsidR="00403820" w:rsidRDefault="007968F0" w:rsidP="003C6820">
      <w:pPr>
        <w:pStyle w:val="Abstract"/>
        <w:ind w:left="-86" w:right="0"/>
      </w:pPr>
      <w:r>
        <w:rPr>
          <w:i/>
          <w:iCs/>
          <w:noProof/>
          <w:color w:val="EE0000"/>
          <w14:ligatures w14:val="none"/>
          <w14:numForm w14:val="default"/>
          <w14:numSpacing w14:val="default"/>
        </w:rPr>
        <mc:AlternateContent>
          <mc:Choice Requires="wps">
            <w:drawing>
              <wp:anchor distT="0" distB="0" distL="114300" distR="114300" simplePos="0" relativeHeight="251703296" behindDoc="0" locked="0" layoutInCell="1" allowOverlap="1" wp14:anchorId="4972C99E" wp14:editId="3C21B088">
                <wp:simplePos x="0" y="0"/>
                <wp:positionH relativeFrom="margin">
                  <wp:align>center</wp:align>
                </wp:positionH>
                <wp:positionV relativeFrom="paragraph">
                  <wp:posOffset>2494915</wp:posOffset>
                </wp:positionV>
                <wp:extent cx="4133850" cy="304800"/>
                <wp:effectExtent l="0" t="0" r="0" b="0"/>
                <wp:wrapNone/>
                <wp:docPr id="885369095" name="Text Box 10"/>
                <wp:cNvGraphicFramePr/>
                <a:graphic xmlns:a="http://schemas.openxmlformats.org/drawingml/2006/main">
                  <a:graphicData uri="http://schemas.microsoft.com/office/word/2010/wordprocessingShape">
                    <wps:wsp>
                      <wps:cNvSpPr txBox="1"/>
                      <wps:spPr>
                        <a:xfrm>
                          <a:off x="0" y="0"/>
                          <a:ext cx="4133850" cy="304800"/>
                        </a:xfrm>
                        <a:prstGeom prst="rect">
                          <a:avLst/>
                        </a:prstGeom>
                        <a:solidFill>
                          <a:schemeClr val="lt1"/>
                        </a:solidFill>
                        <a:ln w="6350">
                          <a:noFill/>
                        </a:ln>
                      </wps:spPr>
                      <wps:txbx>
                        <w:txbxContent>
                          <w:p w14:paraId="3E40A190" w14:textId="77777777" w:rsidR="007968F0" w:rsidRPr="003D5919" w:rsidRDefault="007968F0" w:rsidP="007968F0">
                            <w:pPr>
                              <w:jc w:val="center"/>
                              <w:rPr>
                                <w:sz w:val="17"/>
                                <w:szCs w:val="17"/>
                              </w:rPr>
                            </w:pPr>
                            <w:r w:rsidRPr="003D5919">
                              <w:rPr>
                                <w:b/>
                                <w:bCs/>
                                <w:i/>
                                <w:iCs/>
                                <w:sz w:val="17"/>
                                <w:szCs w:val="17"/>
                              </w:rPr>
                              <w:t xml:space="preserve">Figure </w:t>
                            </w:r>
                            <w:r>
                              <w:rPr>
                                <w:b/>
                                <w:bCs/>
                                <w:i/>
                                <w:iCs/>
                                <w:sz w:val="17"/>
                                <w:szCs w:val="17"/>
                              </w:rPr>
                              <w:t>4</w:t>
                            </w:r>
                            <w:r w:rsidRPr="003D5919">
                              <w:rPr>
                                <w:sz w:val="17"/>
                                <w:szCs w:val="17"/>
                              </w:rPr>
                              <w:t xml:space="preserve">: </w:t>
                            </w:r>
                            <w:r w:rsidRPr="004670E8">
                              <w:rPr>
                                <w:sz w:val="17"/>
                                <w:szCs w:val="17"/>
                              </w:rPr>
                              <w:t xml:space="preserve">BB Indicator Showing Price Volatility and Deviation from </w:t>
                            </w:r>
                            <w:r>
                              <w:rPr>
                                <w:sz w:val="17"/>
                                <w:szCs w:val="17"/>
                              </w:rPr>
                              <w:t>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C99E" id="_x0000_s1028" type="#_x0000_t202" style="position:absolute;left:0;text-align:left;margin-left:0;margin-top:196.45pt;width:325.5pt;height:24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" fillcolor="white [3201]" stroked="f" strokeweight=".5pt">
                <v:textbox>
                  <w:txbxContent>
                    <w:p w14:paraId="3E40A190" w14:textId="77777777" w:rsidR="007968F0" w:rsidRPr="003D5919" w:rsidRDefault="007968F0" w:rsidP="007968F0">
                      <w:pPr>
                        <w:jc w:val="center"/>
                        <w:rPr>
                          <w:sz w:val="17"/>
                          <w:szCs w:val="17"/>
                        </w:rPr>
                      </w:pPr>
                      <w:r w:rsidRPr="003D5919">
                        <w:rPr>
                          <w:b/>
                          <w:bCs/>
                          <w:i/>
                          <w:iCs/>
                          <w:sz w:val="17"/>
                          <w:szCs w:val="17"/>
                        </w:rPr>
                        <w:t xml:space="preserve">Figure </w:t>
                      </w:r>
                      <w:r>
                        <w:rPr>
                          <w:b/>
                          <w:bCs/>
                          <w:i/>
                          <w:iCs/>
                          <w:sz w:val="17"/>
                          <w:szCs w:val="17"/>
                        </w:rPr>
                        <w:t>4</w:t>
                      </w:r>
                      <w:r w:rsidRPr="003D5919">
                        <w:rPr>
                          <w:sz w:val="17"/>
                          <w:szCs w:val="17"/>
                        </w:rPr>
                        <w:t xml:space="preserve">: </w:t>
                      </w:r>
                      <w:r w:rsidRPr="004670E8">
                        <w:rPr>
                          <w:sz w:val="17"/>
                          <w:szCs w:val="17"/>
                        </w:rPr>
                        <w:t xml:space="preserve">BB Indicator Showing Price Volatility and Deviation from </w:t>
                      </w:r>
                      <w:r>
                        <w:rPr>
                          <w:sz w:val="17"/>
                          <w:szCs w:val="17"/>
                        </w:rPr>
                        <w:t>SMA</w:t>
                      </w:r>
                    </w:p>
                  </w:txbxContent>
                </v:textbox>
                <w10:wrap anchorx="margin"/>
              </v:shape>
            </w:pict>
          </mc:Fallback>
        </mc:AlternateContent>
      </w:r>
    </w:p>
    <w:p w14:paraId="2F60CED2" w14:textId="6AE6D0CE" w:rsidR="00E263D2" w:rsidRPr="00E263D2" w:rsidRDefault="00E263D2" w:rsidP="000305AA">
      <w:pPr>
        <w:pStyle w:val="Abstract"/>
        <w:ind w:left="-86" w:right="0"/>
      </w:pPr>
      <w:r w:rsidRPr="00E263D2">
        <w:lastRenderedPageBreak/>
        <w:t xml:space="preserve">Bollinger Bands represent </w:t>
      </w:r>
      <w:proofErr w:type="gramStart"/>
      <w:r w:rsidRPr="00E263D2">
        <w:t>standardized</w:t>
      </w:r>
      <w:proofErr w:type="gramEnd"/>
      <w:r w:rsidRPr="00E263D2">
        <w:t xml:space="preserve"> price deviation from the moving average:</w:t>
      </w:r>
    </w:p>
    <w:p w14:paraId="39A897D6" w14:textId="0AFE2A10" w:rsidR="00B74F0A" w:rsidRDefault="00B74F0A" w:rsidP="003C6820">
      <w:pPr>
        <w:pStyle w:val="Abstract"/>
        <w:ind w:left="-86" w:right="0"/>
        <w:jc w:val="center"/>
      </w:pPr>
      <w:r w:rsidRPr="00B74F0A">
        <w:t>BB</w:t>
      </w:r>
      <w:r w:rsidRPr="00E5769B">
        <w:rPr>
          <w:vertAlign w:val="subscript"/>
        </w:rPr>
        <w:t>t</w:t>
      </w:r>
      <w:r w:rsidRPr="00B74F0A">
        <w:t xml:space="preserve"> = (P</w:t>
      </w:r>
      <w:r w:rsidRPr="00B74F0A">
        <w:rPr>
          <w:vertAlign w:val="subscript"/>
        </w:rPr>
        <w:t>t</w:t>
      </w:r>
      <w:r w:rsidRPr="00B74F0A">
        <w:t xml:space="preserve"> </w:t>
      </w:r>
      <w:r>
        <w:t>–</w:t>
      </w:r>
      <w:r w:rsidRPr="00B74F0A">
        <w:t xml:space="preserve"> SMA</w:t>
      </w:r>
      <w:r w:rsidRPr="00B74F0A">
        <w:rPr>
          <w:vertAlign w:val="subscript"/>
        </w:rPr>
        <w:t>t</w:t>
      </w:r>
      <w:r w:rsidRPr="00B74F0A">
        <w:t xml:space="preserve">) / (2 </w:t>
      </w:r>
      <w:r w:rsidRPr="00B74F0A">
        <w:rPr>
          <w:rFonts w:ascii="Cambria Math" w:hAnsi="Cambria Math" w:cs="Cambria Math"/>
        </w:rPr>
        <w:t>⋅</w:t>
      </w:r>
      <w:r w:rsidRPr="00B74F0A">
        <w:t xml:space="preserve"> </w:t>
      </w:r>
      <w:r w:rsidRPr="00B74F0A">
        <w:rPr>
          <w:rFonts w:cs="Palatino Linotype"/>
        </w:rPr>
        <w:t>σ</w:t>
      </w:r>
      <w:r w:rsidRPr="00B74F0A">
        <w:rPr>
          <w:vertAlign w:val="subscript"/>
        </w:rPr>
        <w:t>t</w:t>
      </w:r>
      <w:r w:rsidRPr="00B74F0A">
        <w:t>)</w:t>
      </w:r>
    </w:p>
    <w:p w14:paraId="0E767C50" w14:textId="556A7BA1" w:rsidR="00F57A75" w:rsidRDefault="00031B1F" w:rsidP="00F57A75">
      <w:pPr>
        <w:pStyle w:val="Abstract"/>
        <w:ind w:left="0" w:right="0"/>
      </w:pPr>
      <w:r w:rsidRPr="00E263D2">
        <w:t xml:space="preserve">Here, </w:t>
      </w:r>
      <w:r w:rsidRPr="00B74F0A">
        <w:rPr>
          <w:rFonts w:cs="Palatino Linotype"/>
        </w:rPr>
        <w:t>σ</w:t>
      </w:r>
      <w:r w:rsidRPr="00B74F0A">
        <w:rPr>
          <w:vertAlign w:val="subscript"/>
        </w:rPr>
        <w:t>t</w:t>
      </w:r>
      <w:r w:rsidRPr="00E263D2">
        <w:t>​ is the rolling standard deviation. A BB value above +1 suggests overbought conditions, while values below –1 suggest oversold conditions. Bollinger Bands can help generate reversal signals, especially when the price returns inside the band range after breaching it</w:t>
      </w:r>
      <w:r w:rsidR="00DD08EB">
        <w:t>.</w:t>
      </w:r>
    </w:p>
    <w:p w14:paraId="179071F4" w14:textId="16E7ADD2" w:rsidR="008A72D0" w:rsidRDefault="008A72D0" w:rsidP="008A72D0">
      <w:pPr>
        <w:pStyle w:val="Abstract"/>
        <w:ind w:left="-90"/>
        <w:rPr>
          <w:b/>
          <w:bCs/>
          <w:i/>
          <w:iCs/>
        </w:rPr>
      </w:pPr>
      <w:r>
        <w:rPr>
          <w:b/>
          <w:bCs/>
        </w:rPr>
        <w:t xml:space="preserve">2.4.1 </w:t>
      </w:r>
      <w:r w:rsidRPr="004563FE">
        <w:rPr>
          <w:b/>
          <w:bCs/>
          <w:i/>
          <w:iCs/>
        </w:rPr>
        <w:t>Trade Decision / Strategy</w:t>
      </w:r>
    </w:p>
    <w:p w14:paraId="2F86EB35" w14:textId="77777777" w:rsidR="008A72D0" w:rsidRPr="008A72D0" w:rsidRDefault="008A72D0" w:rsidP="008A72D0">
      <w:pPr>
        <w:pStyle w:val="Abstract"/>
        <w:ind w:left="0" w:right="0"/>
      </w:pPr>
      <w:r w:rsidRPr="008A72D0">
        <w:t xml:space="preserve">A long position is typically initiated when the price falls below the lower </w:t>
      </w:r>
      <w:proofErr w:type="gramStart"/>
      <w:r w:rsidRPr="008A72D0">
        <w:t>band—</w:t>
      </w:r>
      <w:proofErr w:type="gramEnd"/>
      <w:r w:rsidRPr="008A72D0">
        <w:t>indicating potential oversold conditions—and then moves back within the band, suggesting a likely upward reversal. Conversely, a short position is triggered when the price rises above the upper band—signaling overbought conditions—and then re-enters the band range, implying a possible downward correction. If the price remains between the bands without breaching either side, particularly near the SMA, it is advisable to stay in cash to avoid acting on weak or ambiguous signals.</w:t>
      </w:r>
    </w:p>
    <w:p w14:paraId="65FA2FDC" w14:textId="77777777" w:rsidR="008A72D0" w:rsidRPr="008A72D0" w:rsidRDefault="008A72D0" w:rsidP="008A72D0">
      <w:pPr>
        <w:pStyle w:val="Abstract"/>
        <w:ind w:left="0" w:right="0"/>
      </w:pPr>
      <w:r w:rsidRPr="008A72D0">
        <w:t>Trade decisions based on Bollinger Bands can be confirmed using other indicators such as Momentum or MACD. For instance, a long signal is more reliable when accompanied by rising momentum or a MACD crossover from below zero. Similarly, a short signal is reinforced when declining momentum or a negative MACD supports the overbought condition.</w:t>
      </w:r>
    </w:p>
    <w:p w14:paraId="4A0B026F" w14:textId="77777777" w:rsidR="008A72D0" w:rsidRPr="008A72D0" w:rsidRDefault="008A72D0" w:rsidP="008A72D0">
      <w:pPr>
        <w:pStyle w:val="Abstract"/>
        <w:ind w:left="0" w:right="0"/>
      </w:pPr>
      <w:r w:rsidRPr="008A72D0">
        <w:t>To reduce the likelihood of false signals caused by short-term volatility or noise, a filter can be applied whereby the price must remain beyond a band threshold for a certain number of consecutive days before a reversal-based trade is executed. This helps enhance the reliability of the signals and prevents premature entries or exits.</w:t>
      </w:r>
    </w:p>
    <w:p w14:paraId="23692B4D" w14:textId="77777777" w:rsidR="008A72D0" w:rsidRPr="008A72D0" w:rsidRDefault="008A72D0" w:rsidP="008A72D0">
      <w:pPr>
        <w:pStyle w:val="Abstract"/>
        <w:ind w:left="0" w:right="0"/>
      </w:pPr>
      <w:r w:rsidRPr="008A72D0">
        <w:t xml:space="preserve">The indicator is best visualized by plotting the stock’s price along with the SMA and both the upper and lower Bollinger Bands. This allows traders to clearly see overbought and oversold conditions and the points at which price returns inside the </w:t>
      </w:r>
      <w:proofErr w:type="gramStart"/>
      <w:r w:rsidRPr="008A72D0">
        <w:t>bands—</w:t>
      </w:r>
      <w:proofErr w:type="gramEnd"/>
      <w:r w:rsidRPr="008A72D0">
        <w:t>indicating potential trading opportunities.</w:t>
      </w:r>
    </w:p>
    <w:p w14:paraId="444C1F8F" w14:textId="6633F264" w:rsidR="00E263D2" w:rsidRPr="00E263D2" w:rsidRDefault="00673339" w:rsidP="00E263D2">
      <w:pPr>
        <w:pStyle w:val="Abstract"/>
        <w:ind w:left="-86"/>
        <w:rPr>
          <w:b/>
          <w:bCs/>
        </w:rPr>
      </w:pPr>
      <w:r>
        <w:rPr>
          <w:b/>
          <w:bCs/>
        </w:rPr>
        <w:t>2</w:t>
      </w:r>
      <w:r w:rsidR="00E263D2" w:rsidRPr="00E263D2">
        <w:rPr>
          <w:b/>
          <w:bCs/>
        </w:rPr>
        <w:t>.5 Moving Average Convergence Divergence (MACD)</w:t>
      </w:r>
    </w:p>
    <w:p w14:paraId="2313A72C" w14:textId="77777777" w:rsidR="00742314" w:rsidRDefault="00742314" w:rsidP="003C6820">
      <w:pPr>
        <w:pStyle w:val="Abstract"/>
        <w:ind w:left="-86" w:right="0"/>
      </w:pPr>
    </w:p>
    <w:p w14:paraId="75CAA9B7" w14:textId="30962CBB" w:rsidR="00742314" w:rsidRDefault="00742314" w:rsidP="003C6820">
      <w:pPr>
        <w:pStyle w:val="Abstract"/>
        <w:ind w:left="-86" w:right="0"/>
      </w:pPr>
      <w:r>
        <w:rPr>
          <w:noProof/>
        </w:rPr>
        <w:lastRenderedPageBreak/>
        <w:drawing>
          <wp:anchor distT="0" distB="0" distL="114300" distR="114300" simplePos="0" relativeHeight="251684864" behindDoc="0" locked="0" layoutInCell="1" allowOverlap="1" wp14:anchorId="53DCAFB0" wp14:editId="691EF3CD">
            <wp:simplePos x="0" y="0"/>
            <wp:positionH relativeFrom="margin">
              <wp:posOffset>533400</wp:posOffset>
            </wp:positionH>
            <wp:positionV relativeFrom="margin">
              <wp:posOffset>-31750</wp:posOffset>
            </wp:positionV>
            <wp:extent cx="3829050" cy="2296795"/>
            <wp:effectExtent l="0" t="0" r="0" b="8255"/>
            <wp:wrapTopAndBottom/>
            <wp:docPr id="911829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9050"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noProof/>
          <w:color w:val="EE0000"/>
          <w14:ligatures w14:val="none"/>
          <w14:numForm w14:val="default"/>
          <w14:numSpacing w14:val="default"/>
        </w:rPr>
        <mc:AlternateContent>
          <mc:Choice Requires="wps">
            <w:drawing>
              <wp:anchor distT="0" distB="0" distL="114300" distR="114300" simplePos="0" relativeHeight="251705344" behindDoc="0" locked="0" layoutInCell="1" allowOverlap="1" wp14:anchorId="4D343142" wp14:editId="3CCCF078">
                <wp:simplePos x="0" y="0"/>
                <wp:positionH relativeFrom="margin">
                  <wp:align>center</wp:align>
                </wp:positionH>
                <wp:positionV relativeFrom="paragraph">
                  <wp:posOffset>2277745</wp:posOffset>
                </wp:positionV>
                <wp:extent cx="2616200" cy="304800"/>
                <wp:effectExtent l="0" t="0" r="0" b="0"/>
                <wp:wrapNone/>
                <wp:docPr id="1871929723" name="Text Box 10"/>
                <wp:cNvGraphicFramePr/>
                <a:graphic xmlns:a="http://schemas.openxmlformats.org/drawingml/2006/main">
                  <a:graphicData uri="http://schemas.microsoft.com/office/word/2010/wordprocessingShape">
                    <wps:wsp>
                      <wps:cNvSpPr txBox="1"/>
                      <wps:spPr>
                        <a:xfrm>
                          <a:off x="0" y="0"/>
                          <a:ext cx="2616200" cy="304800"/>
                        </a:xfrm>
                        <a:prstGeom prst="rect">
                          <a:avLst/>
                        </a:prstGeom>
                        <a:solidFill>
                          <a:schemeClr val="lt1"/>
                        </a:solidFill>
                        <a:ln w="6350">
                          <a:noFill/>
                        </a:ln>
                      </wps:spPr>
                      <wps:txbx>
                        <w:txbxContent>
                          <w:p w14:paraId="7ADDC5EA" w14:textId="77777777" w:rsidR="00742314" w:rsidRPr="003D5919" w:rsidRDefault="00742314" w:rsidP="00742314">
                            <w:pPr>
                              <w:jc w:val="center"/>
                              <w:rPr>
                                <w:sz w:val="17"/>
                                <w:szCs w:val="17"/>
                              </w:rPr>
                            </w:pPr>
                            <w:r w:rsidRPr="003D5919">
                              <w:rPr>
                                <w:b/>
                                <w:bCs/>
                                <w:i/>
                                <w:iCs/>
                                <w:sz w:val="17"/>
                                <w:szCs w:val="17"/>
                              </w:rPr>
                              <w:t xml:space="preserve">Figure </w:t>
                            </w:r>
                            <w:r>
                              <w:rPr>
                                <w:b/>
                                <w:bCs/>
                                <w:i/>
                                <w:iCs/>
                                <w:sz w:val="17"/>
                                <w:szCs w:val="17"/>
                              </w:rPr>
                              <w:t>5</w:t>
                            </w:r>
                            <w:r w:rsidRPr="003D5919">
                              <w:rPr>
                                <w:sz w:val="17"/>
                                <w:szCs w:val="17"/>
                              </w:rPr>
                              <w:t xml:space="preserve">: </w:t>
                            </w:r>
                            <w:r>
                              <w:rPr>
                                <w:sz w:val="17"/>
                                <w:szCs w:val="17"/>
                              </w:rPr>
                              <w:t>MCDA</w:t>
                            </w:r>
                            <w:r w:rsidRPr="003D5919">
                              <w:rPr>
                                <w:sz w:val="17"/>
                                <w:szCs w:val="17"/>
                              </w:rPr>
                              <w:t xml:space="preserve">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43142" id="_x0000_s1029" type="#_x0000_t202" style="position:absolute;left:0;text-align:left;margin-left:0;margin-top:179.35pt;width:206pt;height:24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" fillcolor="white [3201]" stroked="f" strokeweight=".5pt">
                <v:textbox>
                  <w:txbxContent>
                    <w:p w14:paraId="7ADDC5EA" w14:textId="77777777" w:rsidR="00742314" w:rsidRPr="003D5919" w:rsidRDefault="00742314" w:rsidP="00742314">
                      <w:pPr>
                        <w:jc w:val="center"/>
                        <w:rPr>
                          <w:sz w:val="17"/>
                          <w:szCs w:val="17"/>
                        </w:rPr>
                      </w:pPr>
                      <w:r w:rsidRPr="003D5919">
                        <w:rPr>
                          <w:b/>
                          <w:bCs/>
                          <w:i/>
                          <w:iCs/>
                          <w:sz w:val="17"/>
                          <w:szCs w:val="17"/>
                        </w:rPr>
                        <w:t xml:space="preserve">Figure </w:t>
                      </w:r>
                      <w:r>
                        <w:rPr>
                          <w:b/>
                          <w:bCs/>
                          <w:i/>
                          <w:iCs/>
                          <w:sz w:val="17"/>
                          <w:szCs w:val="17"/>
                        </w:rPr>
                        <w:t>5</w:t>
                      </w:r>
                      <w:r w:rsidRPr="003D5919">
                        <w:rPr>
                          <w:sz w:val="17"/>
                          <w:szCs w:val="17"/>
                        </w:rPr>
                        <w:t xml:space="preserve">: </w:t>
                      </w:r>
                      <w:r>
                        <w:rPr>
                          <w:sz w:val="17"/>
                          <w:szCs w:val="17"/>
                        </w:rPr>
                        <w:t>MCDA</w:t>
                      </w:r>
                      <w:r w:rsidRPr="003D5919">
                        <w:rPr>
                          <w:sz w:val="17"/>
                          <w:szCs w:val="17"/>
                        </w:rPr>
                        <w:t xml:space="preserve"> Over Time</w:t>
                      </w:r>
                    </w:p>
                  </w:txbxContent>
                </v:textbox>
                <w10:wrap anchorx="margin"/>
              </v:shape>
            </w:pict>
          </mc:Fallback>
        </mc:AlternateContent>
      </w:r>
    </w:p>
    <w:p w14:paraId="3763894A" w14:textId="2D625651" w:rsidR="00E263D2" w:rsidRPr="00E263D2" w:rsidRDefault="00E263D2" w:rsidP="003C6820">
      <w:pPr>
        <w:pStyle w:val="Abstract"/>
        <w:ind w:left="-86" w:right="0"/>
      </w:pPr>
      <w:r w:rsidRPr="00E263D2">
        <w:t>MACD is calculated as the difference between two EMAs (typically 12-day and 26-day):</w:t>
      </w:r>
    </w:p>
    <w:p w14:paraId="5AD6AEE7" w14:textId="78509D8F" w:rsidR="00B74F0A" w:rsidRDefault="00B74F0A" w:rsidP="003C6820">
      <w:pPr>
        <w:pStyle w:val="Abstract"/>
        <w:ind w:left="-86" w:right="0"/>
        <w:jc w:val="center"/>
      </w:pPr>
      <w:r w:rsidRPr="00B74F0A">
        <w:t>MACD</w:t>
      </w:r>
      <w:r w:rsidRPr="00B74F0A">
        <w:rPr>
          <w:vertAlign w:val="subscript"/>
        </w:rPr>
        <w:t>t</w:t>
      </w:r>
      <w:r w:rsidRPr="00B74F0A">
        <w:t xml:space="preserve"> = EMA</w:t>
      </w:r>
      <w:r w:rsidRPr="00B74F0A">
        <w:rPr>
          <w:vertAlign w:val="subscript"/>
        </w:rPr>
        <w:t>12</w:t>
      </w:r>
      <w:r w:rsidRPr="00B74F0A">
        <w:t>(P</w:t>
      </w:r>
      <w:r w:rsidRPr="00B74F0A">
        <w:rPr>
          <w:vertAlign w:val="subscript"/>
        </w:rPr>
        <w:t>t</w:t>
      </w:r>
      <w:r w:rsidRPr="00B74F0A">
        <w:t xml:space="preserve">) </w:t>
      </w:r>
      <w:r>
        <w:t>–</w:t>
      </w:r>
      <w:r w:rsidRPr="00B74F0A">
        <w:t xml:space="preserve"> EMA</w:t>
      </w:r>
      <w:r>
        <w:rPr>
          <w:vertAlign w:val="subscript"/>
        </w:rPr>
        <w:t>26</w:t>
      </w:r>
      <w:r w:rsidRPr="00B74F0A">
        <w:t>(P</w:t>
      </w:r>
      <w:r w:rsidRPr="00B74F0A">
        <w:rPr>
          <w:vertAlign w:val="subscript"/>
        </w:rPr>
        <w:t>t</w:t>
      </w:r>
      <w:r w:rsidRPr="00B74F0A">
        <w:t>)</w:t>
      </w:r>
    </w:p>
    <w:p w14:paraId="31A961AA" w14:textId="25F8A6EB" w:rsidR="00E263D2" w:rsidRDefault="00E263D2" w:rsidP="003C6820">
      <w:pPr>
        <w:pStyle w:val="Abstract"/>
        <w:ind w:left="-86" w:right="0"/>
      </w:pPr>
      <w:r w:rsidRPr="00E263D2">
        <w:t>MACD provides insight into trend reversals and momentum shifts. A positive MACD value indicates bullish divergence, while a negative value implies bearish momentum. MACD is often used with a signal line for trade confirmation, though this implementation uses only the MACD line.</w:t>
      </w:r>
    </w:p>
    <w:p w14:paraId="1EFF694D" w14:textId="52EAC1CE" w:rsidR="00EB6258" w:rsidRPr="00EB6258" w:rsidRDefault="00673339" w:rsidP="00EB6258">
      <w:pPr>
        <w:pStyle w:val="Abstract"/>
        <w:ind w:left="-86"/>
        <w:rPr>
          <w:b/>
          <w:bCs/>
          <w:color w:val="000000" w:themeColor="text1"/>
        </w:rPr>
      </w:pPr>
      <w:r>
        <w:rPr>
          <w:b/>
          <w:bCs/>
          <w:color w:val="000000" w:themeColor="text1"/>
        </w:rPr>
        <w:t>2</w:t>
      </w:r>
      <w:r w:rsidR="00EB6258" w:rsidRPr="00EB6258">
        <w:rPr>
          <w:b/>
          <w:bCs/>
          <w:color w:val="000000" w:themeColor="text1"/>
        </w:rPr>
        <w:t>.</w:t>
      </w:r>
      <w:r w:rsidR="003F1D87">
        <w:rPr>
          <w:b/>
          <w:bCs/>
          <w:color w:val="000000" w:themeColor="text1"/>
        </w:rPr>
        <w:t>5</w:t>
      </w:r>
      <w:r w:rsidR="00EB6258" w:rsidRPr="00EB6258">
        <w:rPr>
          <w:b/>
          <w:bCs/>
          <w:color w:val="000000" w:themeColor="text1"/>
        </w:rPr>
        <w:t xml:space="preserve">.1 </w:t>
      </w:r>
      <w:r w:rsidR="00EB6258" w:rsidRPr="00EB6258">
        <w:rPr>
          <w:b/>
          <w:bCs/>
          <w:i/>
          <w:iCs/>
          <w:color w:val="000000" w:themeColor="text1"/>
        </w:rPr>
        <w:t>Trade Decision / Strategy</w:t>
      </w:r>
    </w:p>
    <w:p w14:paraId="47778032" w14:textId="46ECF371" w:rsidR="00EB6258" w:rsidRPr="00EB6258" w:rsidRDefault="00EB6258" w:rsidP="001A64B4">
      <w:pPr>
        <w:pStyle w:val="Abstract"/>
        <w:ind w:left="-86" w:right="0"/>
        <w:rPr>
          <w:color w:val="000000" w:themeColor="text1"/>
        </w:rPr>
      </w:pPr>
      <w:r w:rsidRPr="00EB6258">
        <w:rPr>
          <w:color w:val="000000" w:themeColor="text1"/>
        </w:rPr>
        <w:t>A long position is triggered when the MACD line crosses above zero, indicating that the short-term momentum (usually 12-day EMA) has surpassed the long-term momentum (usually 26-day EMA), signaling a potential upward trend. Conversely, a short position occurs when the MACD line crosses below zero, suggesting bearish momentum. When the MACD hovers near zero without a clear crossover, holding cash is advisable to avoid uncertain market conditions. Trade confirmation often involves observing the MACD line alongside a signal line or other indicators like SMA or Momentum to reduce false signals, though in this implementation only the MACD line is used. To filter noise, trades are executed only when the MACD crosses zero and sustains its position for several days, helping to avoid whipsaws and minor fluctuations.</w:t>
      </w:r>
    </w:p>
    <w:p w14:paraId="165BFB4A" w14:textId="1420B049" w:rsidR="00F37037" w:rsidRPr="00F37037" w:rsidRDefault="003F1D87" w:rsidP="0056277D">
      <w:pPr>
        <w:pStyle w:val="Abstract"/>
        <w:ind w:left="-86" w:right="0"/>
        <w:rPr>
          <w:color w:val="EE0000"/>
        </w:rPr>
      </w:pPr>
      <w:proofErr w:type="gramStart"/>
      <w:r>
        <w:rPr>
          <w:b/>
          <w:bCs/>
          <w:i/>
          <w:iCs/>
          <w:color w:val="000000" w:themeColor="text1"/>
        </w:rPr>
        <w:t xml:space="preserve">3  </w:t>
      </w:r>
      <w:r w:rsidR="00BB0A8D" w:rsidRPr="00F37037">
        <w:rPr>
          <w:b/>
          <w:bCs/>
        </w:rPr>
        <w:t>THEORETICALLY</w:t>
      </w:r>
      <w:proofErr w:type="gramEnd"/>
      <w:r w:rsidR="00BB0A8D" w:rsidRPr="00F37037">
        <w:rPr>
          <w:b/>
          <w:bCs/>
        </w:rPr>
        <w:t xml:space="preserve"> OPTIMAL STRATEGY (TOS)</w:t>
      </w:r>
    </w:p>
    <w:p w14:paraId="61C3FC94" w14:textId="64D5CA2F" w:rsidR="00F37037" w:rsidRPr="00F37037" w:rsidRDefault="003F1D87" w:rsidP="00BB0A8D">
      <w:pPr>
        <w:pStyle w:val="Abstract"/>
        <w:ind w:left="-90"/>
        <w:rPr>
          <w:b/>
          <w:bCs/>
        </w:rPr>
      </w:pPr>
      <w:r>
        <w:rPr>
          <w:b/>
          <w:bCs/>
        </w:rPr>
        <w:lastRenderedPageBreak/>
        <w:t>3</w:t>
      </w:r>
      <w:r w:rsidR="00F37037" w:rsidRPr="00F37037">
        <w:rPr>
          <w:b/>
          <w:bCs/>
        </w:rPr>
        <w:t>.1 Strategy Overview</w:t>
      </w:r>
    </w:p>
    <w:p w14:paraId="36BDAA89" w14:textId="52A070D0" w:rsidR="00F37037" w:rsidRPr="00F37037" w:rsidRDefault="00F37037" w:rsidP="003C6820">
      <w:pPr>
        <w:pStyle w:val="Abstract"/>
        <w:ind w:left="-86" w:right="0"/>
      </w:pPr>
      <w:r w:rsidRPr="00F37037">
        <w:t xml:space="preserve">The Theoretically Optimal Strategy (TOS) assumes perfect knowledge of the next day’s price movement, allowing it to make optimal trading decisions to maximize returns. The strategy trades in fixed increments of 1000 shares, maintaining positions of +1000 (long), 0 (flat), or -1000 (short) shares. </w:t>
      </w:r>
      <w:r w:rsidR="002E0536" w:rsidRPr="00F37037">
        <w:t>Trade</w:t>
      </w:r>
      <w:r w:rsidRPr="00F37037">
        <w:t xml:space="preserve"> can be as large as ±2000 shares in one day to reverse positions from fully long to fully short or vice versa.</w:t>
      </w:r>
    </w:p>
    <w:p w14:paraId="25440B69" w14:textId="45FE84EA" w:rsidR="00F37037" w:rsidRPr="00F37037" w:rsidRDefault="003F1D87" w:rsidP="00BB0A8D">
      <w:pPr>
        <w:pStyle w:val="Abstract"/>
        <w:ind w:left="0"/>
        <w:rPr>
          <w:b/>
          <w:bCs/>
        </w:rPr>
      </w:pPr>
      <w:r>
        <w:rPr>
          <w:b/>
          <w:bCs/>
        </w:rPr>
        <w:t>3</w:t>
      </w:r>
      <w:r w:rsidR="00F37037" w:rsidRPr="00F37037">
        <w:rPr>
          <w:b/>
          <w:bCs/>
        </w:rPr>
        <w:t>.2 Algorithm Description</w:t>
      </w:r>
    </w:p>
    <w:p w14:paraId="7AB413FD" w14:textId="3063C6E3" w:rsidR="0071202E" w:rsidRPr="0071202E" w:rsidRDefault="0071202E" w:rsidP="0071202E">
      <w:pPr>
        <w:rPr>
          <w:spacing w:val="0"/>
          <w:kern w:val="0"/>
          <w14:ligatures w14:val="none"/>
          <w14:numForm w14:val="default"/>
          <w14:numSpacing w14:val="default"/>
        </w:rPr>
      </w:pPr>
      <w:r w:rsidRPr="0071202E">
        <w:rPr>
          <w:spacing w:val="0"/>
          <w:kern w:val="0"/>
          <w14:ligatures w14:val="none"/>
          <w14:numForm w14:val="default"/>
          <w14:numSpacing w14:val="default"/>
        </w:rPr>
        <w:t xml:space="preserve">For each trading day </w:t>
      </w:r>
      <w:r w:rsidRPr="0071202E">
        <w:rPr>
          <w:i/>
          <w:iCs/>
          <w:spacing w:val="0"/>
          <w:kern w:val="0"/>
          <w14:ligatures w14:val="none"/>
          <w14:numForm w14:val="default"/>
          <w14:numSpacing w14:val="default"/>
        </w:rPr>
        <w:t>t</w:t>
      </w:r>
      <w:r w:rsidRPr="0071202E">
        <w:rPr>
          <w:spacing w:val="0"/>
          <w:kern w:val="0"/>
          <w14:ligatures w14:val="none"/>
          <w14:numForm w14:val="default"/>
          <w14:numSpacing w14:val="default"/>
        </w:rPr>
        <w:t xml:space="preserve"> (except the last), the strategy compares the next day’s price (</w:t>
      </w:r>
      <w:r w:rsidRPr="0071202E">
        <w:rPr>
          <w:i/>
          <w:iCs/>
          <w:spacing w:val="0"/>
          <w:kern w:val="0"/>
          <w14:ligatures w14:val="none"/>
          <w14:numForm w14:val="default"/>
          <w14:numSpacing w14:val="default"/>
        </w:rPr>
        <w:t>P</w:t>
      </w:r>
      <w:r w:rsidRPr="0071202E">
        <w:rPr>
          <w:rFonts w:ascii="Cambria Math" w:hAnsi="Cambria Math" w:cs="Cambria Math"/>
          <w:i/>
          <w:iCs/>
          <w:spacing w:val="0"/>
          <w:kern w:val="0"/>
          <w14:ligatures w14:val="none"/>
          <w14:numForm w14:val="default"/>
          <w14:numSpacing w14:val="default"/>
        </w:rPr>
        <w:t>ₜ</w:t>
      </w:r>
      <w:r w:rsidRPr="0071202E">
        <w:rPr>
          <w:rFonts w:cs="Palatino Linotype"/>
          <w:i/>
          <w:iCs/>
          <w:spacing w:val="0"/>
          <w:kern w:val="0"/>
          <w14:ligatures w14:val="none"/>
          <w14:numForm w14:val="default"/>
          <w14:numSpacing w14:val="default"/>
        </w:rPr>
        <w:t>₊₁</w:t>
      </w:r>
      <w:r w:rsidRPr="0071202E">
        <w:rPr>
          <w:spacing w:val="0"/>
          <w:kern w:val="0"/>
          <w14:ligatures w14:val="none"/>
          <w14:numForm w14:val="default"/>
          <w14:numSpacing w14:val="default"/>
        </w:rPr>
        <w:t>) with the current day’s price (</w:t>
      </w:r>
      <w:r w:rsidRPr="0071202E">
        <w:rPr>
          <w:i/>
          <w:iCs/>
          <w:spacing w:val="0"/>
          <w:kern w:val="0"/>
          <w14:ligatures w14:val="none"/>
          <w14:numForm w14:val="default"/>
          <w14:numSpacing w14:val="default"/>
        </w:rPr>
        <w:t>P</w:t>
      </w:r>
      <w:r w:rsidRPr="0071202E">
        <w:rPr>
          <w:rFonts w:ascii="Cambria Math" w:hAnsi="Cambria Math" w:cs="Cambria Math"/>
          <w:i/>
          <w:iCs/>
          <w:spacing w:val="0"/>
          <w:kern w:val="0"/>
          <w14:ligatures w14:val="none"/>
          <w14:numForm w14:val="default"/>
          <w14:numSpacing w14:val="default"/>
        </w:rPr>
        <w:t>ₜ</w:t>
      </w:r>
      <w:r w:rsidRPr="0071202E">
        <w:rPr>
          <w:spacing w:val="0"/>
          <w:kern w:val="0"/>
          <w14:ligatures w14:val="none"/>
          <w14:numForm w14:val="default"/>
          <w14:numSpacing w14:val="default"/>
        </w:rPr>
        <w:t xml:space="preserve">). If the price is expected to rise, i.e., </w:t>
      </w:r>
      <w:r w:rsidRPr="0071202E">
        <w:rPr>
          <w:i/>
          <w:iCs/>
          <w:spacing w:val="0"/>
          <w:kern w:val="0"/>
          <w14:ligatures w14:val="none"/>
          <w14:numForm w14:val="default"/>
          <w14:numSpacing w14:val="default"/>
        </w:rPr>
        <w:t>P</w:t>
      </w:r>
      <w:r w:rsidRPr="0071202E">
        <w:rPr>
          <w:rFonts w:ascii="Cambria Math" w:hAnsi="Cambria Math" w:cs="Cambria Math"/>
          <w:i/>
          <w:iCs/>
          <w:spacing w:val="0"/>
          <w:kern w:val="0"/>
          <w14:ligatures w14:val="none"/>
          <w14:numForm w14:val="default"/>
          <w14:numSpacing w14:val="default"/>
        </w:rPr>
        <w:t>ₜ</w:t>
      </w:r>
      <w:r w:rsidRPr="0071202E">
        <w:rPr>
          <w:rFonts w:cs="Palatino Linotype"/>
          <w:i/>
          <w:iCs/>
          <w:spacing w:val="0"/>
          <w:kern w:val="0"/>
          <w14:ligatures w14:val="none"/>
          <w14:numForm w14:val="default"/>
          <w14:numSpacing w14:val="default"/>
        </w:rPr>
        <w:t>₊₁</w:t>
      </w:r>
      <w:r w:rsidRPr="0071202E">
        <w:rPr>
          <w:i/>
          <w:iCs/>
          <w:spacing w:val="0"/>
          <w:kern w:val="0"/>
          <w14:ligatures w14:val="none"/>
          <w14:numForm w14:val="default"/>
          <w14:numSpacing w14:val="default"/>
        </w:rPr>
        <w:t xml:space="preserve"> &gt; P</w:t>
      </w:r>
      <w:r w:rsidRPr="0071202E">
        <w:rPr>
          <w:rFonts w:ascii="Cambria Math" w:hAnsi="Cambria Math" w:cs="Cambria Math"/>
          <w:i/>
          <w:iCs/>
          <w:spacing w:val="0"/>
          <w:kern w:val="0"/>
          <w14:ligatures w14:val="none"/>
          <w14:numForm w14:val="default"/>
          <w14:numSpacing w14:val="default"/>
        </w:rPr>
        <w:t>ₜ</w:t>
      </w:r>
      <w:r w:rsidRPr="0071202E">
        <w:rPr>
          <w:spacing w:val="0"/>
          <w:kern w:val="0"/>
          <w14:ligatures w14:val="none"/>
          <w14:numForm w14:val="default"/>
          <w14:numSpacing w14:val="default"/>
        </w:rPr>
        <w:t>, the strategy buys enough shares to hold a total of +1000 shares. Specifically, if the current position is short (−1000 shares), it buys 2000 shares to reverse the position to +1000. If the position is flat (0 shares), it buys 1000 shares.</w:t>
      </w:r>
    </w:p>
    <w:p w14:paraId="696FC92B" w14:textId="2616984D" w:rsidR="0071202E" w:rsidRPr="0071202E" w:rsidRDefault="0071202E" w:rsidP="0071202E">
      <w:pPr>
        <w:rPr>
          <w:spacing w:val="0"/>
          <w:kern w:val="0"/>
          <w14:ligatures w14:val="none"/>
          <w14:numForm w14:val="default"/>
          <w14:numSpacing w14:val="default"/>
        </w:rPr>
      </w:pPr>
      <w:r w:rsidRPr="0071202E">
        <w:rPr>
          <w:spacing w:val="0"/>
          <w:kern w:val="0"/>
          <w14:ligatures w14:val="none"/>
          <w14:numForm w14:val="default"/>
          <w14:numSpacing w14:val="default"/>
        </w:rPr>
        <w:t xml:space="preserve">Conversely, if the price is expected to fall, i.e., </w:t>
      </w:r>
      <w:r w:rsidRPr="0071202E">
        <w:rPr>
          <w:i/>
          <w:iCs/>
          <w:spacing w:val="0"/>
          <w:kern w:val="0"/>
          <w14:ligatures w14:val="none"/>
          <w14:numForm w14:val="default"/>
          <w14:numSpacing w14:val="default"/>
        </w:rPr>
        <w:t>P</w:t>
      </w:r>
      <w:r w:rsidRPr="0071202E">
        <w:rPr>
          <w:rFonts w:ascii="Cambria Math" w:hAnsi="Cambria Math" w:cs="Cambria Math"/>
          <w:i/>
          <w:iCs/>
          <w:spacing w:val="0"/>
          <w:kern w:val="0"/>
          <w14:ligatures w14:val="none"/>
          <w14:numForm w14:val="default"/>
          <w14:numSpacing w14:val="default"/>
        </w:rPr>
        <w:t>ₜ</w:t>
      </w:r>
      <w:r w:rsidRPr="0071202E">
        <w:rPr>
          <w:rFonts w:cs="Palatino Linotype"/>
          <w:i/>
          <w:iCs/>
          <w:spacing w:val="0"/>
          <w:kern w:val="0"/>
          <w14:ligatures w14:val="none"/>
          <w14:numForm w14:val="default"/>
          <w14:numSpacing w14:val="default"/>
        </w:rPr>
        <w:t>₊₁</w:t>
      </w:r>
      <w:r w:rsidRPr="0071202E">
        <w:rPr>
          <w:i/>
          <w:iCs/>
          <w:spacing w:val="0"/>
          <w:kern w:val="0"/>
          <w14:ligatures w14:val="none"/>
          <w14:numForm w14:val="default"/>
          <w14:numSpacing w14:val="default"/>
        </w:rPr>
        <w:t xml:space="preserve"> &lt; P</w:t>
      </w:r>
      <w:r w:rsidRPr="0071202E">
        <w:rPr>
          <w:rFonts w:ascii="Cambria Math" w:hAnsi="Cambria Math" w:cs="Cambria Math"/>
          <w:i/>
          <w:iCs/>
          <w:spacing w:val="0"/>
          <w:kern w:val="0"/>
          <w14:ligatures w14:val="none"/>
          <w14:numForm w14:val="default"/>
          <w14:numSpacing w14:val="default"/>
        </w:rPr>
        <w:t>ₜ</w:t>
      </w:r>
      <w:r w:rsidRPr="0071202E">
        <w:rPr>
          <w:spacing w:val="0"/>
          <w:kern w:val="0"/>
          <w14:ligatures w14:val="none"/>
          <w14:numForm w14:val="default"/>
          <w14:numSpacing w14:val="default"/>
        </w:rPr>
        <w:t xml:space="preserve">, the strategy sells enough shares to hold −1000 shares. If the current position is long (+1000 shares), it sells 2000 shares to </w:t>
      </w:r>
      <w:proofErr w:type="gramStart"/>
      <w:r w:rsidRPr="0071202E">
        <w:rPr>
          <w:spacing w:val="0"/>
          <w:kern w:val="0"/>
          <w14:ligatures w14:val="none"/>
          <w14:numForm w14:val="default"/>
          <w14:numSpacing w14:val="default"/>
        </w:rPr>
        <w:t>flip to −</w:t>
      </w:r>
      <w:proofErr w:type="gramEnd"/>
      <w:r w:rsidRPr="0071202E">
        <w:rPr>
          <w:spacing w:val="0"/>
          <w:kern w:val="0"/>
          <w14:ligatures w14:val="none"/>
          <w14:numForm w14:val="default"/>
          <w14:numSpacing w14:val="default"/>
        </w:rPr>
        <w:t>1000. If the position is flat, it sells 1000 shares. If the price is expected to remain unchanged (</w:t>
      </w:r>
      <w:r w:rsidRPr="0071202E">
        <w:rPr>
          <w:i/>
          <w:iCs/>
          <w:spacing w:val="0"/>
          <w:kern w:val="0"/>
          <w14:ligatures w14:val="none"/>
          <w14:numForm w14:val="default"/>
          <w14:numSpacing w14:val="default"/>
        </w:rPr>
        <w:t>P</w:t>
      </w:r>
      <w:r w:rsidRPr="0071202E">
        <w:rPr>
          <w:rFonts w:ascii="Cambria Math" w:hAnsi="Cambria Math" w:cs="Cambria Math"/>
          <w:i/>
          <w:iCs/>
          <w:spacing w:val="0"/>
          <w:kern w:val="0"/>
          <w14:ligatures w14:val="none"/>
          <w14:numForm w14:val="default"/>
          <w14:numSpacing w14:val="default"/>
        </w:rPr>
        <w:t>ₜ</w:t>
      </w:r>
      <w:r w:rsidRPr="0071202E">
        <w:rPr>
          <w:rFonts w:cs="Palatino Linotype"/>
          <w:i/>
          <w:iCs/>
          <w:spacing w:val="0"/>
          <w:kern w:val="0"/>
          <w14:ligatures w14:val="none"/>
          <w14:numForm w14:val="default"/>
          <w14:numSpacing w14:val="default"/>
        </w:rPr>
        <w:t>₊₁</w:t>
      </w:r>
      <w:r w:rsidRPr="0071202E">
        <w:rPr>
          <w:i/>
          <w:iCs/>
          <w:spacing w:val="0"/>
          <w:kern w:val="0"/>
          <w14:ligatures w14:val="none"/>
          <w14:numForm w14:val="default"/>
          <w14:numSpacing w14:val="default"/>
        </w:rPr>
        <w:t xml:space="preserve"> = P</w:t>
      </w:r>
      <w:r w:rsidRPr="0071202E">
        <w:rPr>
          <w:rFonts w:ascii="Cambria Math" w:hAnsi="Cambria Math" w:cs="Cambria Math"/>
          <w:i/>
          <w:iCs/>
          <w:spacing w:val="0"/>
          <w:kern w:val="0"/>
          <w14:ligatures w14:val="none"/>
          <w14:numForm w14:val="default"/>
          <w14:numSpacing w14:val="default"/>
        </w:rPr>
        <w:t>ₜ</w:t>
      </w:r>
      <w:r w:rsidRPr="0071202E">
        <w:rPr>
          <w:spacing w:val="0"/>
          <w:kern w:val="0"/>
          <w14:ligatures w14:val="none"/>
          <w14:numForm w14:val="default"/>
          <w14:numSpacing w14:val="default"/>
        </w:rPr>
        <w:t xml:space="preserve">), the strategy maintains the current position and makes no trade. On the final trading day, it </w:t>
      </w:r>
      <w:proofErr w:type="gramStart"/>
      <w:r w:rsidRPr="0071202E">
        <w:rPr>
          <w:spacing w:val="0"/>
          <w:kern w:val="0"/>
          <w14:ligatures w14:val="none"/>
          <w14:numForm w14:val="default"/>
          <w14:numSpacing w14:val="default"/>
        </w:rPr>
        <w:t>closes</w:t>
      </w:r>
      <w:proofErr w:type="gramEnd"/>
      <w:r w:rsidRPr="0071202E">
        <w:rPr>
          <w:spacing w:val="0"/>
          <w:kern w:val="0"/>
          <w14:ligatures w14:val="none"/>
          <w14:numForm w14:val="default"/>
          <w14:numSpacing w14:val="default"/>
        </w:rPr>
        <w:t xml:space="preserve"> </w:t>
      </w:r>
      <w:proofErr w:type="gramStart"/>
      <w:r w:rsidRPr="0071202E">
        <w:rPr>
          <w:spacing w:val="0"/>
          <w:kern w:val="0"/>
          <w14:ligatures w14:val="none"/>
          <w14:numForm w14:val="default"/>
          <w14:numSpacing w14:val="default"/>
        </w:rPr>
        <w:t>any</w:t>
      </w:r>
      <w:proofErr w:type="gramEnd"/>
      <w:r w:rsidRPr="0071202E">
        <w:rPr>
          <w:spacing w:val="0"/>
          <w:kern w:val="0"/>
          <w14:ligatures w14:val="none"/>
          <w14:numForm w14:val="default"/>
          <w14:numSpacing w14:val="default"/>
        </w:rPr>
        <w:t xml:space="preserve"> open position by executing an offsetting trade to return holdings to zero.</w:t>
      </w:r>
      <w:r w:rsidR="00666889">
        <w:rPr>
          <w:spacing w:val="0"/>
          <w:kern w:val="0"/>
          <w14:ligatures w14:val="none"/>
          <w14:numForm w14:val="default"/>
          <w14:numSpacing w14:val="default"/>
        </w:rPr>
        <w:t xml:space="preserve"> </w:t>
      </w:r>
    </w:p>
    <w:p w14:paraId="0CDA8436" w14:textId="72E5621E" w:rsidR="00F37037" w:rsidRPr="00F37037" w:rsidRDefault="003F1D87" w:rsidP="0089662A">
      <w:pPr>
        <w:pStyle w:val="Abstract"/>
        <w:ind w:left="-90"/>
        <w:rPr>
          <w:b/>
          <w:bCs/>
        </w:rPr>
      </w:pPr>
      <w:r>
        <w:rPr>
          <w:b/>
          <w:bCs/>
        </w:rPr>
        <w:t>3</w:t>
      </w:r>
      <w:r w:rsidR="0089662A">
        <w:rPr>
          <w:b/>
          <w:bCs/>
        </w:rPr>
        <w:t>.</w:t>
      </w:r>
      <w:r w:rsidR="00F37037" w:rsidRPr="00F37037">
        <w:rPr>
          <w:b/>
          <w:bCs/>
        </w:rPr>
        <w:t>3 Assumptions and Constraints</w:t>
      </w:r>
    </w:p>
    <w:p w14:paraId="360EB654" w14:textId="77777777" w:rsidR="00F37037" w:rsidRPr="00F37037" w:rsidRDefault="00F37037" w:rsidP="00BB0A8D">
      <w:pPr>
        <w:pStyle w:val="Abstract"/>
        <w:numPr>
          <w:ilvl w:val="0"/>
          <w:numId w:val="19"/>
        </w:numPr>
        <w:tabs>
          <w:tab w:val="clear" w:pos="720"/>
        </w:tabs>
        <w:ind w:left="360"/>
      </w:pPr>
      <w:r w:rsidRPr="00F37037">
        <w:t>No transaction costs or market impact are considered.</w:t>
      </w:r>
    </w:p>
    <w:p w14:paraId="6BAF23D2" w14:textId="5D3A3EF4" w:rsidR="00295FAB" w:rsidRDefault="00F37037" w:rsidP="008A72D0">
      <w:pPr>
        <w:pStyle w:val="Abstract"/>
        <w:numPr>
          <w:ilvl w:val="0"/>
          <w:numId w:val="19"/>
        </w:numPr>
        <w:tabs>
          <w:tab w:val="clear" w:pos="720"/>
        </w:tabs>
        <w:ind w:left="360"/>
      </w:pPr>
      <w:proofErr w:type="gramStart"/>
      <w:r w:rsidRPr="00F37037">
        <w:t>Trades are</w:t>
      </w:r>
      <w:proofErr w:type="gramEnd"/>
      <w:r w:rsidRPr="00F37037">
        <w:t xml:space="preserve"> only in increments of 1000 shares.</w:t>
      </w:r>
    </w:p>
    <w:p w14:paraId="4F36E982" w14:textId="10C8BBB3" w:rsidR="00F37037" w:rsidRPr="00F37037" w:rsidRDefault="00F37037" w:rsidP="00BB0A8D">
      <w:pPr>
        <w:pStyle w:val="Abstract"/>
        <w:numPr>
          <w:ilvl w:val="0"/>
          <w:numId w:val="19"/>
        </w:numPr>
        <w:tabs>
          <w:tab w:val="clear" w:pos="720"/>
        </w:tabs>
        <w:ind w:left="360"/>
      </w:pPr>
      <w:r w:rsidRPr="00F37037">
        <w:t>Initial cash is set to $100,000 with zero shares held.</w:t>
      </w:r>
    </w:p>
    <w:p w14:paraId="08A90F59" w14:textId="53E6D209" w:rsidR="00F37037" w:rsidRPr="00F37037" w:rsidRDefault="00F37037" w:rsidP="00BB0A8D">
      <w:pPr>
        <w:pStyle w:val="Abstract"/>
        <w:numPr>
          <w:ilvl w:val="0"/>
          <w:numId w:val="19"/>
        </w:numPr>
        <w:tabs>
          <w:tab w:val="clear" w:pos="720"/>
        </w:tabs>
        <w:ind w:left="360"/>
      </w:pPr>
      <w:r w:rsidRPr="00F37037">
        <w:t>Positions are capped at ±1000 shares.</w:t>
      </w:r>
    </w:p>
    <w:p w14:paraId="58BE8B1E" w14:textId="37270747" w:rsidR="00F37037" w:rsidRPr="00F37037" w:rsidRDefault="003F1D87" w:rsidP="00BB0A8D">
      <w:pPr>
        <w:pStyle w:val="Abstract"/>
        <w:ind w:left="0"/>
        <w:rPr>
          <w:b/>
          <w:bCs/>
        </w:rPr>
      </w:pPr>
      <w:r>
        <w:rPr>
          <w:b/>
          <w:bCs/>
        </w:rPr>
        <w:t>3</w:t>
      </w:r>
      <w:r w:rsidR="00F37037" w:rsidRPr="00F37037">
        <w:rPr>
          <w:b/>
          <w:bCs/>
        </w:rPr>
        <w:t>.4 Implementation Notes</w:t>
      </w:r>
    </w:p>
    <w:p w14:paraId="20EBEA2C" w14:textId="29759EAE" w:rsidR="00F37037" w:rsidRPr="00F37037" w:rsidRDefault="00F37037" w:rsidP="003C6820">
      <w:pPr>
        <w:pStyle w:val="Abstract"/>
        <w:tabs>
          <w:tab w:val="left" w:pos="6930"/>
        </w:tabs>
        <w:ind w:left="-86" w:right="0"/>
      </w:pPr>
      <w:r w:rsidRPr="00F37037">
        <w:t xml:space="preserve">The strategy is implemented in the function </w:t>
      </w:r>
      <w:r w:rsidR="002E0536" w:rsidRPr="00F37037">
        <w:t>testPolicy (</w:t>
      </w:r>
      <w:r w:rsidRPr="00F37037">
        <w:t xml:space="preserve">) within the file </w:t>
      </w:r>
      <w:r w:rsidRPr="00F37037">
        <w:rPr>
          <w:i/>
          <w:iCs/>
        </w:rPr>
        <w:t>TheoreticallyOptimalStrategy.py</w:t>
      </w:r>
      <w:r w:rsidRPr="00F37037">
        <w:t>. It returns a DataFrame indexed by date with trade orders for the symbol. The function utilizes historical price data fetched via get_</w:t>
      </w:r>
      <w:r w:rsidR="002E0536" w:rsidRPr="00F37037">
        <w:t>data (</w:t>
      </w:r>
      <w:r w:rsidRPr="00F37037">
        <w:t>).</w:t>
      </w:r>
    </w:p>
    <w:p w14:paraId="15835F85" w14:textId="5F988CAD" w:rsidR="00F37037" w:rsidRPr="00F37037" w:rsidRDefault="003F1D87" w:rsidP="003C6820">
      <w:pPr>
        <w:pStyle w:val="Abstract"/>
        <w:tabs>
          <w:tab w:val="left" w:pos="6930"/>
        </w:tabs>
        <w:ind w:left="0" w:right="0"/>
        <w:rPr>
          <w:b/>
          <w:bCs/>
        </w:rPr>
      </w:pPr>
      <w:r>
        <w:rPr>
          <w:b/>
          <w:bCs/>
        </w:rPr>
        <w:t>3</w:t>
      </w:r>
      <w:r w:rsidR="0089662A">
        <w:rPr>
          <w:b/>
          <w:bCs/>
        </w:rPr>
        <w:t>.</w:t>
      </w:r>
      <w:r w:rsidR="00F37037" w:rsidRPr="00F37037">
        <w:rPr>
          <w:b/>
          <w:bCs/>
        </w:rPr>
        <w:t>5 Performance Evaluation</w:t>
      </w:r>
    </w:p>
    <w:p w14:paraId="6BF43A5E" w14:textId="6BC6D14D" w:rsidR="00F37037" w:rsidRPr="00F37037" w:rsidRDefault="00F37037" w:rsidP="003C6820">
      <w:pPr>
        <w:pStyle w:val="Abstract"/>
        <w:tabs>
          <w:tab w:val="left" w:pos="6930"/>
        </w:tabs>
        <w:ind w:left="-90" w:right="0"/>
      </w:pPr>
      <w:r w:rsidRPr="00F37037">
        <w:lastRenderedPageBreak/>
        <w:t xml:space="preserve">Portfolio values were computed using the </w:t>
      </w:r>
      <w:r w:rsidRPr="00F37037">
        <w:rPr>
          <w:i/>
          <w:iCs/>
        </w:rPr>
        <w:t>marketsimcode.py</w:t>
      </w:r>
      <w:r w:rsidRPr="00F37037">
        <w:t xml:space="preserve"> simulator with no commission or impact to reflect theoretical conditions. The benchmark for comparison is a buy-and-hold strategy of 1000 shares of JPM stock.</w:t>
      </w:r>
    </w:p>
    <w:p w14:paraId="13702C2D" w14:textId="7A5DAE22" w:rsidR="00F37037" w:rsidRPr="00F37037" w:rsidRDefault="003F1D87" w:rsidP="003C6820">
      <w:pPr>
        <w:pStyle w:val="Abstract"/>
        <w:tabs>
          <w:tab w:val="left" w:pos="6930"/>
        </w:tabs>
        <w:ind w:left="0" w:right="0"/>
        <w:rPr>
          <w:b/>
          <w:bCs/>
        </w:rPr>
      </w:pPr>
      <w:r>
        <w:rPr>
          <w:b/>
          <w:bCs/>
        </w:rPr>
        <w:t>3</w:t>
      </w:r>
      <w:r w:rsidR="00F37037" w:rsidRPr="00F37037">
        <w:rPr>
          <w:b/>
          <w:bCs/>
        </w:rPr>
        <w:t>.6 Performance Comparison Chart</w:t>
      </w:r>
    </w:p>
    <w:p w14:paraId="515B6FEC" w14:textId="036B0E0F" w:rsidR="00F37037" w:rsidRPr="00F37037" w:rsidRDefault="008A72D0" w:rsidP="003C6820">
      <w:pPr>
        <w:pStyle w:val="Abstract"/>
        <w:tabs>
          <w:tab w:val="left" w:pos="6930"/>
        </w:tabs>
        <w:ind w:left="-90" w:right="0"/>
      </w:pPr>
      <w:r>
        <w:rPr>
          <w:noProof/>
          <w:color w:val="EE0000"/>
        </w:rPr>
        <w:drawing>
          <wp:anchor distT="0" distB="0" distL="114300" distR="114300" simplePos="0" relativeHeight="251687936" behindDoc="0" locked="0" layoutInCell="1" allowOverlap="1" wp14:anchorId="78D939CB" wp14:editId="75518EB0">
            <wp:simplePos x="0" y="0"/>
            <wp:positionH relativeFrom="margin">
              <wp:posOffset>-11430</wp:posOffset>
            </wp:positionH>
            <wp:positionV relativeFrom="page">
              <wp:posOffset>2806700</wp:posOffset>
            </wp:positionV>
            <wp:extent cx="5024755" cy="3009900"/>
            <wp:effectExtent l="0" t="0" r="4445" b="0"/>
            <wp:wrapTopAndBottom/>
            <wp:docPr id="1960681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475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7037" w:rsidRPr="00F37037">
        <w:t>Figure 6 illustrates the normalized portfolio values of the TOS versus the benchmark for the period 2008–2009. The TOS significantly outperforms the benchmark, demonstrating the advantage of perfect foresight in trading decisions.</w:t>
      </w:r>
    </w:p>
    <w:p w14:paraId="015C7DE5" w14:textId="3D07118B" w:rsidR="008A72D0" w:rsidRDefault="009441CB" w:rsidP="00F2506D">
      <w:pPr>
        <w:pStyle w:val="Abstract"/>
        <w:tabs>
          <w:tab w:val="left" w:pos="6930"/>
        </w:tabs>
        <w:ind w:left="-90" w:right="0"/>
        <w:rPr>
          <w:b/>
          <w:bCs/>
        </w:rPr>
      </w:pPr>
      <w:r>
        <w:rPr>
          <w:i/>
          <w:iCs/>
          <w:noProof/>
          <w:color w:val="EE0000"/>
          <w14:ligatures w14:val="none"/>
          <w14:numForm w14:val="default"/>
          <w14:numSpacing w14:val="default"/>
        </w:rPr>
        <mc:AlternateContent>
          <mc:Choice Requires="wps">
            <w:drawing>
              <wp:anchor distT="0" distB="0" distL="114300" distR="114300" simplePos="0" relativeHeight="251689984" behindDoc="0" locked="0" layoutInCell="1" allowOverlap="1" wp14:anchorId="224F3F43" wp14:editId="2C9DE1E8">
                <wp:simplePos x="0" y="0"/>
                <wp:positionH relativeFrom="margin">
                  <wp:align>center</wp:align>
                </wp:positionH>
                <wp:positionV relativeFrom="paragraph">
                  <wp:posOffset>3183255</wp:posOffset>
                </wp:positionV>
                <wp:extent cx="4425950" cy="304800"/>
                <wp:effectExtent l="0" t="0" r="0" b="0"/>
                <wp:wrapNone/>
                <wp:docPr id="91867517" name="Text Box 10"/>
                <wp:cNvGraphicFramePr/>
                <a:graphic xmlns:a="http://schemas.openxmlformats.org/drawingml/2006/main">
                  <a:graphicData uri="http://schemas.microsoft.com/office/word/2010/wordprocessingShape">
                    <wps:wsp>
                      <wps:cNvSpPr txBox="1"/>
                      <wps:spPr>
                        <a:xfrm>
                          <a:off x="0" y="0"/>
                          <a:ext cx="4425950" cy="304800"/>
                        </a:xfrm>
                        <a:prstGeom prst="rect">
                          <a:avLst/>
                        </a:prstGeom>
                        <a:solidFill>
                          <a:sysClr val="window" lastClr="FFFFFF"/>
                        </a:solidFill>
                        <a:ln w="6350">
                          <a:noFill/>
                        </a:ln>
                      </wps:spPr>
                      <wps:txbx>
                        <w:txbxContent>
                          <w:p w14:paraId="3362C8B3" w14:textId="02AE3888" w:rsidR="00D37561" w:rsidRPr="003D5919" w:rsidRDefault="00D37561" w:rsidP="00D37561">
                            <w:pPr>
                              <w:jc w:val="center"/>
                              <w:rPr>
                                <w:sz w:val="17"/>
                                <w:szCs w:val="17"/>
                              </w:rPr>
                            </w:pPr>
                            <w:r w:rsidRPr="003D5919">
                              <w:rPr>
                                <w:b/>
                                <w:bCs/>
                                <w:i/>
                                <w:iCs/>
                                <w:sz w:val="17"/>
                                <w:szCs w:val="17"/>
                              </w:rPr>
                              <w:t xml:space="preserve">Figure </w:t>
                            </w:r>
                            <w:r>
                              <w:rPr>
                                <w:b/>
                                <w:bCs/>
                                <w:i/>
                                <w:iCs/>
                                <w:sz w:val="17"/>
                                <w:szCs w:val="17"/>
                              </w:rPr>
                              <w:t>6</w:t>
                            </w:r>
                            <w:r w:rsidRPr="003D5919">
                              <w:rPr>
                                <w:sz w:val="17"/>
                                <w:szCs w:val="17"/>
                              </w:rPr>
                              <w:t xml:space="preserve">: </w:t>
                            </w:r>
                            <w:r w:rsidRPr="00D37561">
                              <w:rPr>
                                <w:sz w:val="17"/>
                                <w:szCs w:val="17"/>
                              </w:rPr>
                              <w:t>Portfolio Value Comparison: Theoretically Optimal Strategy vs. Benchmark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F3F43" id="_x0000_s1030" type="#_x0000_t202" style="position:absolute;left:0;text-align:left;margin-left:0;margin-top:250.65pt;width:348.5pt;height:24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" fillcolor="window" stroked="f" strokeweight=".5pt">
                <v:textbox>
                  <w:txbxContent>
                    <w:p w14:paraId="3362C8B3" w14:textId="02AE3888" w:rsidR="00D37561" w:rsidRPr="003D5919" w:rsidRDefault="00D37561" w:rsidP="00D37561">
                      <w:pPr>
                        <w:jc w:val="center"/>
                        <w:rPr>
                          <w:sz w:val="17"/>
                          <w:szCs w:val="17"/>
                        </w:rPr>
                      </w:pPr>
                      <w:r w:rsidRPr="003D5919">
                        <w:rPr>
                          <w:b/>
                          <w:bCs/>
                          <w:i/>
                          <w:iCs/>
                          <w:sz w:val="17"/>
                          <w:szCs w:val="17"/>
                        </w:rPr>
                        <w:t xml:space="preserve">Figure </w:t>
                      </w:r>
                      <w:r>
                        <w:rPr>
                          <w:b/>
                          <w:bCs/>
                          <w:i/>
                          <w:iCs/>
                          <w:sz w:val="17"/>
                          <w:szCs w:val="17"/>
                        </w:rPr>
                        <w:t>6</w:t>
                      </w:r>
                      <w:r w:rsidRPr="003D5919">
                        <w:rPr>
                          <w:sz w:val="17"/>
                          <w:szCs w:val="17"/>
                        </w:rPr>
                        <w:t xml:space="preserve">: </w:t>
                      </w:r>
                      <w:r w:rsidRPr="00D37561">
                        <w:rPr>
                          <w:sz w:val="17"/>
                          <w:szCs w:val="17"/>
                        </w:rPr>
                        <w:t>Portfolio Value Comparison: Theoretically Optimal Strategy vs. Benchmark</w:t>
                      </w:r>
                    </w:p>
                  </w:txbxContent>
                </v:textbox>
                <w10:wrap anchorx="margin"/>
              </v:shape>
            </w:pict>
          </mc:Fallback>
        </mc:AlternateContent>
      </w:r>
    </w:p>
    <w:p w14:paraId="602DD035" w14:textId="77777777" w:rsidR="009441CB" w:rsidRDefault="009441CB" w:rsidP="00F2506D">
      <w:pPr>
        <w:pStyle w:val="Abstract"/>
        <w:tabs>
          <w:tab w:val="left" w:pos="6930"/>
        </w:tabs>
        <w:ind w:left="-90" w:right="0"/>
        <w:rPr>
          <w:b/>
          <w:bCs/>
        </w:rPr>
      </w:pPr>
    </w:p>
    <w:p w14:paraId="55D3237B" w14:textId="4276BC97" w:rsidR="00F37037" w:rsidRDefault="003F1D87" w:rsidP="00F2506D">
      <w:pPr>
        <w:pStyle w:val="Abstract"/>
        <w:tabs>
          <w:tab w:val="left" w:pos="6930"/>
        </w:tabs>
        <w:ind w:left="-90" w:right="0"/>
        <w:rPr>
          <w:b/>
          <w:bCs/>
        </w:rPr>
      </w:pPr>
      <w:r>
        <w:rPr>
          <w:b/>
          <w:bCs/>
        </w:rPr>
        <w:t>3</w:t>
      </w:r>
      <w:r w:rsidR="00F37037" w:rsidRPr="00F37037">
        <w:rPr>
          <w:b/>
          <w:bCs/>
        </w:rPr>
        <w:t>.7 Performance Metrics</w:t>
      </w:r>
    </w:p>
    <w:p w14:paraId="357CD6A1" w14:textId="25863709" w:rsidR="005B5814" w:rsidRDefault="005B5814" w:rsidP="005B5814">
      <w:pPr>
        <w:pStyle w:val="Abstract"/>
        <w:tabs>
          <w:tab w:val="left" w:pos="6930"/>
        </w:tabs>
        <w:ind w:left="0" w:right="0"/>
      </w:pPr>
      <w:r w:rsidRPr="005B5814">
        <w:t xml:space="preserve">This section presents a detailed comparison of key performance metrics between the Theoretically Optimal Strategy (TOS) and the benchmark buy-and-hold approach. These metrics include cumulative return, daily return statistics, Sharpe ratio, and final portfolio value, providing a comprehensive view of each strategy’s risk-adjusted performance. </w:t>
      </w:r>
    </w:p>
    <w:p w14:paraId="25926131" w14:textId="77777777" w:rsidR="008A72D0" w:rsidRDefault="008A72D0" w:rsidP="005F1416">
      <w:pPr>
        <w:pStyle w:val="TableCaption"/>
        <w:numPr>
          <w:ilvl w:val="0"/>
          <w:numId w:val="0"/>
        </w:numPr>
        <w:ind w:left="1440"/>
        <w:rPr>
          <w:b/>
          <w:bCs w:val="0"/>
          <w:i/>
          <w:iCs/>
        </w:rPr>
      </w:pPr>
    </w:p>
    <w:p w14:paraId="5BFF984A" w14:textId="77777777" w:rsidR="008A72D0" w:rsidRDefault="008A72D0" w:rsidP="005F1416">
      <w:pPr>
        <w:pStyle w:val="TableCaption"/>
        <w:numPr>
          <w:ilvl w:val="0"/>
          <w:numId w:val="0"/>
        </w:numPr>
        <w:ind w:left="1440"/>
        <w:rPr>
          <w:b/>
          <w:bCs w:val="0"/>
          <w:i/>
          <w:iCs/>
        </w:rPr>
      </w:pPr>
    </w:p>
    <w:p w14:paraId="5B6064D6" w14:textId="77777777" w:rsidR="008A72D0" w:rsidRDefault="008A72D0" w:rsidP="005F1416">
      <w:pPr>
        <w:pStyle w:val="TableCaption"/>
        <w:numPr>
          <w:ilvl w:val="0"/>
          <w:numId w:val="0"/>
        </w:numPr>
        <w:ind w:left="1440"/>
        <w:rPr>
          <w:b/>
          <w:bCs w:val="0"/>
          <w:i/>
          <w:iCs/>
        </w:rPr>
      </w:pPr>
    </w:p>
    <w:p w14:paraId="679D8FB2" w14:textId="77824365" w:rsidR="005F1416" w:rsidRPr="00C45E88" w:rsidRDefault="005F1416" w:rsidP="005F1416">
      <w:pPr>
        <w:pStyle w:val="TableCaption"/>
        <w:numPr>
          <w:ilvl w:val="0"/>
          <w:numId w:val="0"/>
        </w:numPr>
        <w:ind w:left="1440"/>
        <w:rPr>
          <w:color w:val="EE0000"/>
        </w:rPr>
      </w:pPr>
      <w:r w:rsidRPr="005F1416">
        <w:rPr>
          <w:b/>
          <w:bCs w:val="0"/>
          <w:i/>
          <w:iCs/>
        </w:rPr>
        <w:lastRenderedPageBreak/>
        <w:t>Table 1</w:t>
      </w:r>
      <w:r>
        <w:t xml:space="preserve">: Performance Metrics </w:t>
      </w:r>
      <w:proofErr w:type="gramStart"/>
      <w:r>
        <w:t>Comparison</w:t>
      </w:r>
      <w:proofErr w:type="gramEnd"/>
      <w:r>
        <w:t xml:space="preserve"> Between Benchmark and Theoretically Optimal Strategy (TOS)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90"/>
        <w:gridCol w:w="1800"/>
        <w:gridCol w:w="2430"/>
      </w:tblGrid>
      <w:tr w:rsidR="0089662A" w:rsidRPr="00F37037" w14:paraId="0FE03654" w14:textId="77777777" w:rsidTr="002E0536">
        <w:trPr>
          <w:tblHeader/>
          <w:tblCellSpacing w:w="15" w:type="dxa"/>
          <w:jc w:val="center"/>
        </w:trPr>
        <w:tc>
          <w:tcPr>
            <w:tcW w:w="3645" w:type="dxa"/>
            <w:tcBorders>
              <w:bottom w:val="single" w:sz="4" w:space="0" w:color="auto"/>
            </w:tcBorders>
            <w:vAlign w:val="center"/>
            <w:hideMark/>
          </w:tcPr>
          <w:p w14:paraId="2004FE67" w14:textId="068054F5" w:rsidR="00F37037" w:rsidRPr="00F37037" w:rsidRDefault="00F37037" w:rsidP="002E0536">
            <w:pPr>
              <w:pStyle w:val="Abstract"/>
              <w:ind w:left="-90"/>
              <w:jc w:val="center"/>
              <w:rPr>
                <w:b/>
                <w:bCs/>
                <w:sz w:val="17"/>
                <w:szCs w:val="17"/>
              </w:rPr>
            </w:pPr>
            <w:r w:rsidRPr="00F37037">
              <w:rPr>
                <w:b/>
                <w:bCs/>
                <w:sz w:val="17"/>
                <w:szCs w:val="17"/>
              </w:rPr>
              <w:t>Metric</w:t>
            </w:r>
          </w:p>
        </w:tc>
        <w:tc>
          <w:tcPr>
            <w:tcW w:w="1770" w:type="dxa"/>
            <w:tcBorders>
              <w:bottom w:val="single" w:sz="4" w:space="0" w:color="auto"/>
            </w:tcBorders>
            <w:vAlign w:val="center"/>
            <w:hideMark/>
          </w:tcPr>
          <w:p w14:paraId="7AA06B4A" w14:textId="795C965B" w:rsidR="00F37037" w:rsidRPr="00F37037" w:rsidRDefault="005524B1" w:rsidP="002E0536">
            <w:pPr>
              <w:pStyle w:val="Abstract"/>
              <w:ind w:left="-90"/>
              <w:jc w:val="center"/>
              <w:rPr>
                <w:b/>
                <w:bCs/>
                <w:sz w:val="17"/>
                <w:szCs w:val="17"/>
              </w:rPr>
            </w:pPr>
            <w:r>
              <w:rPr>
                <w:b/>
                <w:bCs/>
                <w:sz w:val="17"/>
                <w:szCs w:val="17"/>
              </w:rPr>
              <w:t>TOS</w:t>
            </w:r>
          </w:p>
        </w:tc>
        <w:tc>
          <w:tcPr>
            <w:tcW w:w="2385" w:type="dxa"/>
            <w:tcBorders>
              <w:bottom w:val="single" w:sz="4" w:space="0" w:color="auto"/>
            </w:tcBorders>
            <w:vAlign w:val="center"/>
            <w:hideMark/>
          </w:tcPr>
          <w:p w14:paraId="7740E6B9" w14:textId="77777777" w:rsidR="00F37037" w:rsidRPr="00F37037" w:rsidRDefault="00F37037" w:rsidP="002E0536">
            <w:pPr>
              <w:pStyle w:val="Abstract"/>
              <w:ind w:left="-90"/>
              <w:jc w:val="center"/>
              <w:rPr>
                <w:b/>
                <w:bCs/>
                <w:sz w:val="17"/>
                <w:szCs w:val="17"/>
              </w:rPr>
            </w:pPr>
            <w:r w:rsidRPr="00F37037">
              <w:rPr>
                <w:b/>
                <w:bCs/>
                <w:sz w:val="17"/>
                <w:szCs w:val="17"/>
              </w:rPr>
              <w:t>Benchmark</w:t>
            </w:r>
          </w:p>
        </w:tc>
      </w:tr>
      <w:tr w:rsidR="002E0536" w:rsidRPr="00F37037" w14:paraId="68D65A91" w14:textId="77777777" w:rsidTr="002E0536">
        <w:trPr>
          <w:tblCellSpacing w:w="15" w:type="dxa"/>
          <w:jc w:val="center"/>
        </w:trPr>
        <w:tc>
          <w:tcPr>
            <w:tcW w:w="3645" w:type="dxa"/>
            <w:vAlign w:val="center"/>
            <w:hideMark/>
          </w:tcPr>
          <w:p w14:paraId="2790F661" w14:textId="2DC883D4" w:rsidR="00F37037" w:rsidRPr="00F37037" w:rsidRDefault="002E0536" w:rsidP="00E5769B">
            <w:pPr>
              <w:pStyle w:val="Abstract"/>
              <w:ind w:left="-90"/>
              <w:jc w:val="left"/>
              <w:rPr>
                <w:sz w:val="17"/>
                <w:szCs w:val="17"/>
              </w:rPr>
            </w:pPr>
            <w:r>
              <w:rPr>
                <w:sz w:val="17"/>
                <w:szCs w:val="17"/>
              </w:rPr>
              <w:t xml:space="preserve">    </w:t>
            </w:r>
            <w:r w:rsidR="00F37037" w:rsidRPr="00F37037">
              <w:rPr>
                <w:sz w:val="17"/>
                <w:szCs w:val="17"/>
              </w:rPr>
              <w:t>Cumulative Return</w:t>
            </w:r>
          </w:p>
        </w:tc>
        <w:tc>
          <w:tcPr>
            <w:tcW w:w="1770" w:type="dxa"/>
            <w:vAlign w:val="center"/>
            <w:hideMark/>
          </w:tcPr>
          <w:p w14:paraId="7F48B41C" w14:textId="0D365941" w:rsidR="00F37037" w:rsidRPr="00F37037" w:rsidRDefault="00D65EEA" w:rsidP="002E0536">
            <w:pPr>
              <w:pStyle w:val="Abstract"/>
              <w:ind w:left="-90"/>
              <w:jc w:val="right"/>
              <w:rPr>
                <w:sz w:val="17"/>
                <w:szCs w:val="17"/>
              </w:rPr>
            </w:pPr>
            <w:r>
              <w:rPr>
                <w:sz w:val="17"/>
                <w:szCs w:val="17"/>
              </w:rPr>
              <w:t>5.786</w:t>
            </w:r>
            <w:r w:rsidR="0089598D">
              <w:rPr>
                <w:sz w:val="17"/>
                <w:szCs w:val="17"/>
              </w:rPr>
              <w:t>100</w:t>
            </w:r>
          </w:p>
        </w:tc>
        <w:tc>
          <w:tcPr>
            <w:tcW w:w="2385" w:type="dxa"/>
            <w:vAlign w:val="center"/>
            <w:hideMark/>
          </w:tcPr>
          <w:p w14:paraId="2332A450" w14:textId="52696157" w:rsidR="00F37037" w:rsidRPr="00F37037" w:rsidRDefault="0089598D" w:rsidP="002E0536">
            <w:pPr>
              <w:pStyle w:val="Abstract"/>
              <w:ind w:left="-90"/>
              <w:jc w:val="right"/>
              <w:rPr>
                <w:sz w:val="17"/>
                <w:szCs w:val="17"/>
              </w:rPr>
            </w:pPr>
            <w:r>
              <w:rPr>
                <w:sz w:val="17"/>
                <w:szCs w:val="17"/>
              </w:rPr>
              <w:t>0.031973</w:t>
            </w:r>
          </w:p>
        </w:tc>
      </w:tr>
      <w:tr w:rsidR="002E0536" w:rsidRPr="00F37037" w14:paraId="4FCD36D9" w14:textId="77777777" w:rsidTr="002E0536">
        <w:trPr>
          <w:tblCellSpacing w:w="15" w:type="dxa"/>
          <w:jc w:val="center"/>
        </w:trPr>
        <w:tc>
          <w:tcPr>
            <w:tcW w:w="3645" w:type="dxa"/>
            <w:vAlign w:val="center"/>
            <w:hideMark/>
          </w:tcPr>
          <w:p w14:paraId="025D4DC9" w14:textId="53058984" w:rsidR="00F37037" w:rsidRPr="00F37037" w:rsidRDefault="002E0536" w:rsidP="00E5769B">
            <w:pPr>
              <w:pStyle w:val="Abstract"/>
              <w:ind w:left="-90"/>
              <w:jc w:val="left"/>
              <w:rPr>
                <w:sz w:val="17"/>
                <w:szCs w:val="17"/>
              </w:rPr>
            </w:pPr>
            <w:r>
              <w:rPr>
                <w:sz w:val="17"/>
                <w:szCs w:val="17"/>
              </w:rPr>
              <w:t xml:space="preserve">    </w:t>
            </w:r>
            <w:r w:rsidR="00F37037" w:rsidRPr="00F37037">
              <w:rPr>
                <w:sz w:val="17"/>
                <w:szCs w:val="17"/>
              </w:rPr>
              <w:t>Standard Deviation (Daily Returns)</w:t>
            </w:r>
          </w:p>
        </w:tc>
        <w:tc>
          <w:tcPr>
            <w:tcW w:w="1770" w:type="dxa"/>
            <w:vAlign w:val="center"/>
            <w:hideMark/>
          </w:tcPr>
          <w:p w14:paraId="507DDB14" w14:textId="638DF96C" w:rsidR="00F37037" w:rsidRPr="00F37037" w:rsidRDefault="00A2423E" w:rsidP="002E0536">
            <w:pPr>
              <w:pStyle w:val="Abstract"/>
              <w:ind w:left="-90"/>
              <w:jc w:val="right"/>
              <w:rPr>
                <w:sz w:val="17"/>
                <w:szCs w:val="17"/>
              </w:rPr>
            </w:pPr>
            <w:r>
              <w:rPr>
                <w:sz w:val="17"/>
                <w:szCs w:val="17"/>
              </w:rPr>
              <w:t>0.004548</w:t>
            </w:r>
          </w:p>
        </w:tc>
        <w:tc>
          <w:tcPr>
            <w:tcW w:w="2385" w:type="dxa"/>
            <w:vAlign w:val="center"/>
            <w:hideMark/>
          </w:tcPr>
          <w:p w14:paraId="074A7DEA" w14:textId="6D0A8032" w:rsidR="00F37037" w:rsidRPr="00F37037" w:rsidRDefault="00F37037" w:rsidP="002E0536">
            <w:pPr>
              <w:pStyle w:val="Abstract"/>
              <w:ind w:left="-90"/>
              <w:jc w:val="right"/>
              <w:rPr>
                <w:sz w:val="17"/>
                <w:szCs w:val="17"/>
              </w:rPr>
            </w:pPr>
            <w:r w:rsidRPr="00F37037">
              <w:rPr>
                <w:sz w:val="17"/>
                <w:szCs w:val="17"/>
              </w:rPr>
              <w:t>0.</w:t>
            </w:r>
            <w:r w:rsidR="00A2423E">
              <w:rPr>
                <w:sz w:val="17"/>
                <w:szCs w:val="17"/>
              </w:rPr>
              <w:t>052145</w:t>
            </w:r>
          </w:p>
        </w:tc>
      </w:tr>
      <w:tr w:rsidR="002E0536" w:rsidRPr="00F37037" w14:paraId="1E2C7E0F" w14:textId="77777777" w:rsidTr="002E0536">
        <w:trPr>
          <w:tblCellSpacing w:w="15" w:type="dxa"/>
          <w:jc w:val="center"/>
        </w:trPr>
        <w:tc>
          <w:tcPr>
            <w:tcW w:w="3645" w:type="dxa"/>
            <w:vAlign w:val="center"/>
            <w:hideMark/>
          </w:tcPr>
          <w:p w14:paraId="0EBE0F8E" w14:textId="0423F1FF" w:rsidR="00F37037" w:rsidRPr="00F37037" w:rsidRDefault="002E0536" w:rsidP="00E5769B">
            <w:pPr>
              <w:pStyle w:val="Abstract"/>
              <w:ind w:left="-90"/>
              <w:jc w:val="left"/>
              <w:rPr>
                <w:sz w:val="17"/>
                <w:szCs w:val="17"/>
              </w:rPr>
            </w:pPr>
            <w:r>
              <w:rPr>
                <w:sz w:val="17"/>
                <w:szCs w:val="17"/>
              </w:rPr>
              <w:t xml:space="preserve">    </w:t>
            </w:r>
            <w:r w:rsidR="00DB0A1A">
              <w:rPr>
                <w:sz w:val="17"/>
                <w:szCs w:val="17"/>
              </w:rPr>
              <w:t>Average</w:t>
            </w:r>
            <w:r w:rsidR="00F37037" w:rsidRPr="00F37037">
              <w:rPr>
                <w:sz w:val="17"/>
                <w:szCs w:val="17"/>
              </w:rPr>
              <w:t xml:space="preserve"> Daily Returns</w:t>
            </w:r>
          </w:p>
        </w:tc>
        <w:tc>
          <w:tcPr>
            <w:tcW w:w="1770" w:type="dxa"/>
            <w:vAlign w:val="center"/>
            <w:hideMark/>
          </w:tcPr>
          <w:p w14:paraId="2C678391" w14:textId="7AB09572" w:rsidR="00F37037" w:rsidRPr="00F37037" w:rsidRDefault="00F37037" w:rsidP="002E0536">
            <w:pPr>
              <w:pStyle w:val="Abstract"/>
              <w:ind w:left="-90"/>
              <w:jc w:val="right"/>
              <w:rPr>
                <w:sz w:val="17"/>
                <w:szCs w:val="17"/>
              </w:rPr>
            </w:pPr>
            <w:r w:rsidRPr="00F37037">
              <w:rPr>
                <w:sz w:val="17"/>
                <w:szCs w:val="17"/>
              </w:rPr>
              <w:t>0.00</w:t>
            </w:r>
            <w:r w:rsidR="00DB0A1A">
              <w:rPr>
                <w:sz w:val="17"/>
                <w:szCs w:val="17"/>
              </w:rPr>
              <w:t>3817</w:t>
            </w:r>
          </w:p>
        </w:tc>
        <w:tc>
          <w:tcPr>
            <w:tcW w:w="2385" w:type="dxa"/>
            <w:vAlign w:val="center"/>
            <w:hideMark/>
          </w:tcPr>
          <w:p w14:paraId="1A2F285F" w14:textId="0B920CF8" w:rsidR="00F37037" w:rsidRPr="00F37037" w:rsidRDefault="00EA55F0" w:rsidP="002E0536">
            <w:pPr>
              <w:pStyle w:val="Abstract"/>
              <w:ind w:left="-90"/>
              <w:jc w:val="right"/>
              <w:rPr>
                <w:sz w:val="17"/>
                <w:szCs w:val="17"/>
              </w:rPr>
            </w:pPr>
            <w:r>
              <w:rPr>
                <w:sz w:val="17"/>
                <w:szCs w:val="17"/>
              </w:rPr>
              <w:t>0.001396</w:t>
            </w:r>
          </w:p>
        </w:tc>
      </w:tr>
      <w:tr w:rsidR="002E0536" w:rsidRPr="00F37037" w14:paraId="75ED3422" w14:textId="77777777" w:rsidTr="002E0536">
        <w:trPr>
          <w:tblCellSpacing w:w="15" w:type="dxa"/>
          <w:jc w:val="center"/>
        </w:trPr>
        <w:tc>
          <w:tcPr>
            <w:tcW w:w="3645" w:type="dxa"/>
            <w:vAlign w:val="center"/>
            <w:hideMark/>
          </w:tcPr>
          <w:p w14:paraId="2BECCC1C" w14:textId="1C97C706" w:rsidR="00F37037" w:rsidRPr="00F37037" w:rsidRDefault="002E0536" w:rsidP="00E5769B">
            <w:pPr>
              <w:pStyle w:val="Abstract"/>
              <w:ind w:left="-90"/>
              <w:jc w:val="left"/>
              <w:rPr>
                <w:sz w:val="17"/>
                <w:szCs w:val="17"/>
              </w:rPr>
            </w:pPr>
            <w:r>
              <w:rPr>
                <w:sz w:val="17"/>
                <w:szCs w:val="17"/>
              </w:rPr>
              <w:t xml:space="preserve">    </w:t>
            </w:r>
            <w:r w:rsidR="00F37037" w:rsidRPr="00F37037">
              <w:rPr>
                <w:sz w:val="17"/>
                <w:szCs w:val="17"/>
              </w:rPr>
              <w:t>Sharpe Ratio</w:t>
            </w:r>
          </w:p>
        </w:tc>
        <w:tc>
          <w:tcPr>
            <w:tcW w:w="1770" w:type="dxa"/>
            <w:vAlign w:val="center"/>
            <w:hideMark/>
          </w:tcPr>
          <w:p w14:paraId="365F0CAA" w14:textId="58F0CA0C" w:rsidR="00F37037" w:rsidRPr="00F37037" w:rsidRDefault="00C14A16" w:rsidP="002E0536">
            <w:pPr>
              <w:pStyle w:val="Abstract"/>
              <w:ind w:left="-90"/>
              <w:jc w:val="right"/>
              <w:rPr>
                <w:sz w:val="17"/>
                <w:szCs w:val="17"/>
              </w:rPr>
            </w:pPr>
            <w:r>
              <w:rPr>
                <w:sz w:val="17"/>
                <w:szCs w:val="17"/>
              </w:rPr>
              <w:t>13.322770</w:t>
            </w:r>
          </w:p>
        </w:tc>
        <w:tc>
          <w:tcPr>
            <w:tcW w:w="2385" w:type="dxa"/>
            <w:vAlign w:val="center"/>
            <w:hideMark/>
          </w:tcPr>
          <w:p w14:paraId="77759BF6" w14:textId="2F529A26" w:rsidR="00F37037" w:rsidRPr="00F37037" w:rsidRDefault="00D65EEA" w:rsidP="002E0536">
            <w:pPr>
              <w:pStyle w:val="Abstract"/>
              <w:ind w:left="-90"/>
              <w:jc w:val="right"/>
              <w:rPr>
                <w:sz w:val="17"/>
                <w:szCs w:val="17"/>
              </w:rPr>
            </w:pPr>
            <w:r>
              <w:rPr>
                <w:sz w:val="17"/>
                <w:szCs w:val="17"/>
              </w:rPr>
              <w:t>0.424887</w:t>
            </w:r>
          </w:p>
        </w:tc>
      </w:tr>
      <w:tr w:rsidR="002E0536" w:rsidRPr="00F37037" w14:paraId="6ADFD20D" w14:textId="77777777" w:rsidTr="002E0536">
        <w:trPr>
          <w:tblCellSpacing w:w="15" w:type="dxa"/>
          <w:jc w:val="center"/>
        </w:trPr>
        <w:tc>
          <w:tcPr>
            <w:tcW w:w="3645" w:type="dxa"/>
            <w:tcBorders>
              <w:bottom w:val="single" w:sz="4" w:space="0" w:color="auto"/>
            </w:tcBorders>
            <w:vAlign w:val="center"/>
            <w:hideMark/>
          </w:tcPr>
          <w:p w14:paraId="27F601A7" w14:textId="6D3A675E" w:rsidR="00F37037" w:rsidRPr="00F37037" w:rsidRDefault="002E0536" w:rsidP="00E5769B">
            <w:pPr>
              <w:pStyle w:val="Abstract"/>
              <w:ind w:left="-90"/>
              <w:jc w:val="left"/>
              <w:rPr>
                <w:sz w:val="17"/>
                <w:szCs w:val="17"/>
              </w:rPr>
            </w:pPr>
            <w:r>
              <w:rPr>
                <w:sz w:val="17"/>
                <w:szCs w:val="17"/>
              </w:rPr>
              <w:t xml:space="preserve">   </w:t>
            </w:r>
            <w:r w:rsidR="005F1416">
              <w:rPr>
                <w:sz w:val="17"/>
                <w:szCs w:val="17"/>
              </w:rPr>
              <w:t xml:space="preserve"> </w:t>
            </w:r>
            <w:r w:rsidR="00F37037" w:rsidRPr="00F37037">
              <w:rPr>
                <w:sz w:val="17"/>
                <w:szCs w:val="17"/>
              </w:rPr>
              <w:t>Final Portfolio Value</w:t>
            </w:r>
          </w:p>
        </w:tc>
        <w:tc>
          <w:tcPr>
            <w:tcW w:w="1770" w:type="dxa"/>
            <w:tcBorders>
              <w:bottom w:val="single" w:sz="4" w:space="0" w:color="auto"/>
            </w:tcBorders>
            <w:vAlign w:val="center"/>
            <w:hideMark/>
          </w:tcPr>
          <w:p w14:paraId="23AA1C8A" w14:textId="384D1148" w:rsidR="00F37037" w:rsidRPr="00F37037" w:rsidRDefault="00F37037" w:rsidP="002E0536">
            <w:pPr>
              <w:pStyle w:val="Abstract"/>
              <w:ind w:left="-90"/>
              <w:jc w:val="right"/>
              <w:rPr>
                <w:sz w:val="17"/>
                <w:szCs w:val="17"/>
              </w:rPr>
            </w:pPr>
            <w:r w:rsidRPr="00F37037">
              <w:rPr>
                <w:sz w:val="17"/>
                <w:szCs w:val="17"/>
              </w:rPr>
              <w:t>$</w:t>
            </w:r>
            <w:r w:rsidR="00984F4E">
              <w:rPr>
                <w:sz w:val="17"/>
                <w:szCs w:val="17"/>
              </w:rPr>
              <w:t>678</w:t>
            </w:r>
            <w:r w:rsidR="00244E57">
              <w:rPr>
                <w:sz w:val="17"/>
                <w:szCs w:val="17"/>
              </w:rPr>
              <w:t>,</w:t>
            </w:r>
            <w:r w:rsidR="00984F4E">
              <w:rPr>
                <w:sz w:val="17"/>
                <w:szCs w:val="17"/>
              </w:rPr>
              <w:t>610</w:t>
            </w:r>
            <w:r w:rsidRPr="00F37037">
              <w:rPr>
                <w:sz w:val="17"/>
                <w:szCs w:val="17"/>
              </w:rPr>
              <w:t>.</w:t>
            </w:r>
            <w:r w:rsidR="00984F4E">
              <w:rPr>
                <w:sz w:val="17"/>
                <w:szCs w:val="17"/>
              </w:rPr>
              <w:t>0</w:t>
            </w:r>
            <w:r w:rsidRPr="00F37037">
              <w:rPr>
                <w:sz w:val="17"/>
                <w:szCs w:val="17"/>
              </w:rPr>
              <w:t>0</w:t>
            </w:r>
          </w:p>
        </w:tc>
        <w:tc>
          <w:tcPr>
            <w:tcW w:w="2385" w:type="dxa"/>
            <w:tcBorders>
              <w:bottom w:val="single" w:sz="4" w:space="0" w:color="auto"/>
            </w:tcBorders>
            <w:vAlign w:val="center"/>
            <w:hideMark/>
          </w:tcPr>
          <w:p w14:paraId="5015AECD" w14:textId="381F597A" w:rsidR="00F37037" w:rsidRPr="00F37037" w:rsidRDefault="00F37037" w:rsidP="002E0536">
            <w:pPr>
              <w:pStyle w:val="Abstract"/>
              <w:ind w:left="-90"/>
              <w:jc w:val="right"/>
              <w:rPr>
                <w:sz w:val="17"/>
                <w:szCs w:val="17"/>
              </w:rPr>
            </w:pPr>
            <w:r w:rsidRPr="00F37037">
              <w:rPr>
                <w:sz w:val="17"/>
                <w:szCs w:val="17"/>
              </w:rPr>
              <w:t>$</w:t>
            </w:r>
            <w:r w:rsidR="00984F4E">
              <w:rPr>
                <w:sz w:val="17"/>
                <w:szCs w:val="17"/>
              </w:rPr>
              <w:t>103,197</w:t>
            </w:r>
            <w:r w:rsidRPr="00F37037">
              <w:rPr>
                <w:sz w:val="17"/>
                <w:szCs w:val="17"/>
              </w:rPr>
              <w:t>.30</w:t>
            </w:r>
          </w:p>
        </w:tc>
      </w:tr>
    </w:tbl>
    <w:p w14:paraId="19D292AF" w14:textId="77777777" w:rsidR="00E52702" w:rsidRDefault="00E52702" w:rsidP="00495866">
      <w:pPr>
        <w:pStyle w:val="Abstract"/>
        <w:ind w:left="0" w:right="0"/>
      </w:pPr>
    </w:p>
    <w:p w14:paraId="010A48EE" w14:textId="7DD9710A" w:rsidR="00495866" w:rsidRPr="00495866" w:rsidRDefault="00495866" w:rsidP="00495866">
      <w:pPr>
        <w:pStyle w:val="Abstract"/>
        <w:ind w:left="0" w:right="0"/>
      </w:pPr>
      <w:r w:rsidRPr="00495866">
        <w:t>The Theoretically Optimal Strategy (TOS) significantly outperformed the benchmark in every performance metric. Over the two-year period, TOS achieved a cumulative return of 478.61% and a Sharpe Ratio of 13.32, compared to just 3.20% and 0.42 for the benchmark. Despite its much higher returns, TOS exhibited lower daily volatility (0.45% vs. 5.21%), indicating a highly efficient strategy with minimal risk. This resulted in a final portfolio value of $678,610 versus $103,197 for the benchmark. However, it is important to note that such extreme outperformance is due to the use of perfect foresight in TOS and is not achievable in real-world trading. The strategy serves as a theoretical upper bound to benchmark the effectiveness of more realistic, learned strategies.</w:t>
      </w:r>
    </w:p>
    <w:p w14:paraId="260D1497" w14:textId="1C3D8925" w:rsidR="0084784E" w:rsidRPr="0084784E" w:rsidRDefault="003F1D87" w:rsidP="005B5814">
      <w:pPr>
        <w:pStyle w:val="Abstract"/>
        <w:ind w:left="0"/>
        <w:rPr>
          <w:b/>
          <w:bCs/>
        </w:rPr>
      </w:pPr>
      <w:r>
        <w:rPr>
          <w:b/>
          <w:bCs/>
        </w:rPr>
        <w:t>4</w:t>
      </w:r>
      <w:r w:rsidR="0084784E" w:rsidRPr="0084784E">
        <w:rPr>
          <w:b/>
          <w:bCs/>
        </w:rPr>
        <w:t xml:space="preserve"> </w:t>
      </w:r>
      <w:r w:rsidR="00EA0D50" w:rsidRPr="0084784E">
        <w:rPr>
          <w:b/>
          <w:bCs/>
        </w:rPr>
        <w:t>CONCLUSION</w:t>
      </w:r>
    </w:p>
    <w:p w14:paraId="5EDBB63A" w14:textId="4CC0E82F" w:rsidR="0084784E" w:rsidRPr="0084784E" w:rsidRDefault="0084784E" w:rsidP="003C6820">
      <w:pPr>
        <w:pStyle w:val="Abstract"/>
        <w:ind w:left="-90" w:right="0"/>
      </w:pPr>
      <w:r w:rsidRPr="0084784E">
        <w:t xml:space="preserve">This report demonstrates the utility of multiple technical indicators for market analysis and trading decisions. Each indicator was defined mathematically, its trading logic </w:t>
      </w:r>
      <w:r w:rsidR="002E0536" w:rsidRPr="0084784E">
        <w:t>explained and</w:t>
      </w:r>
      <w:r w:rsidRPr="0084784E">
        <w:t xml:space="preserve"> supported with visual examples on JPM stock data. The Theoretically Optimal Strategy, while not implementable in real markets, provides a valuable benchmark representing the maximal achievable performance given perfect future knowledge.</w:t>
      </w:r>
    </w:p>
    <w:p w14:paraId="2DEAB2F3" w14:textId="1DCEB792" w:rsidR="00900232" w:rsidRDefault="0084784E" w:rsidP="003C6820">
      <w:pPr>
        <w:pStyle w:val="Abstract"/>
        <w:ind w:left="-90" w:right="0"/>
      </w:pPr>
      <w:r w:rsidRPr="0084784E">
        <w:t>Future work could involve combining these indicators to design robust, practical trading algorithms, and testing on multiple securities over longer periods.</w:t>
      </w:r>
    </w:p>
    <w:p w14:paraId="33C7D849" w14:textId="0C302124" w:rsidR="00EA0D50" w:rsidRPr="00DE18EA" w:rsidRDefault="00EA0D50" w:rsidP="003F1D87">
      <w:pPr>
        <w:pStyle w:val="Heading1"/>
        <w:numPr>
          <w:ilvl w:val="0"/>
          <w:numId w:val="29"/>
        </w:numPr>
      </w:pPr>
      <w:r w:rsidRPr="00DE18EA">
        <w:lastRenderedPageBreak/>
        <w:t>REFERENCES</w:t>
      </w:r>
    </w:p>
    <w:p w14:paraId="4CECCED6" w14:textId="77777777" w:rsidR="00EA0D50" w:rsidRDefault="00EA0D50" w:rsidP="00EA0D50">
      <w:pPr>
        <w:pStyle w:val="Abstract"/>
        <w:ind w:left="0" w:right="0"/>
      </w:pPr>
    </w:p>
    <w:p w14:paraId="164F4C1E" w14:textId="60CB5201" w:rsidR="00900232" w:rsidRPr="00900232" w:rsidRDefault="00900232" w:rsidP="006343CB">
      <w:pPr>
        <w:pStyle w:val="Abstract"/>
        <w:numPr>
          <w:ilvl w:val="0"/>
          <w:numId w:val="25"/>
        </w:numPr>
        <w:ind w:right="0"/>
      </w:pPr>
      <w:r w:rsidRPr="00900232">
        <w:t xml:space="preserve">IG Group. (2019). </w:t>
      </w:r>
      <w:r w:rsidRPr="00900232">
        <w:rPr>
          <w:i/>
          <w:iCs/>
        </w:rPr>
        <w:t>10 trading indicators every trader should know</w:t>
      </w:r>
      <w:r w:rsidRPr="00900232">
        <w:t xml:space="preserve">. Retrieved from </w:t>
      </w:r>
      <w:hyperlink r:id="rId15" w:tgtFrame="_new" w:history="1">
        <w:r w:rsidRPr="00900232">
          <w:rPr>
            <w:rStyle w:val="Hyperlink"/>
          </w:rPr>
          <w:t>https://www.ig.com/en/trading-strategies/10-trading-indicators-every-trader-should-know-190604</w:t>
        </w:r>
      </w:hyperlink>
    </w:p>
    <w:p w14:paraId="7B27D377" w14:textId="1B7425E4" w:rsidR="00900232" w:rsidRPr="00900232" w:rsidRDefault="00900232" w:rsidP="006343CB">
      <w:pPr>
        <w:pStyle w:val="Abstract"/>
        <w:numPr>
          <w:ilvl w:val="0"/>
          <w:numId w:val="25"/>
        </w:numPr>
        <w:ind w:right="0"/>
      </w:pPr>
      <w:r w:rsidRPr="00900232">
        <w:t xml:space="preserve">Yves Hilpisch. (2018). </w:t>
      </w:r>
      <w:r w:rsidRPr="00900232">
        <w:rPr>
          <w:i/>
          <w:iCs/>
        </w:rPr>
        <w:t>Python for Finance: Mastering Data-Driven Finance</w:t>
      </w:r>
      <w:r w:rsidRPr="00900232">
        <w:t xml:space="preserve"> (2nd ed.). </w:t>
      </w:r>
      <w:r w:rsidR="00453709">
        <w:t xml:space="preserve">Boston. </w:t>
      </w:r>
      <w:r w:rsidRPr="00900232">
        <w:t>O'Reilly Media.</w:t>
      </w:r>
    </w:p>
    <w:p w14:paraId="678CC0D6" w14:textId="77777777" w:rsidR="0084784E" w:rsidRPr="0084784E" w:rsidRDefault="0084784E" w:rsidP="003C6820">
      <w:pPr>
        <w:pStyle w:val="Abstract"/>
        <w:ind w:left="-90" w:right="0"/>
      </w:pPr>
    </w:p>
    <w:p w14:paraId="702A3E6C" w14:textId="77777777" w:rsidR="0084784E" w:rsidRPr="0054029E" w:rsidRDefault="0084784E" w:rsidP="0054029E">
      <w:pPr>
        <w:pStyle w:val="Abstract"/>
      </w:pPr>
    </w:p>
    <w:sectPr w:rsidR="0084784E" w:rsidRPr="0054029E" w:rsidSect="00641ADD">
      <w:headerReference w:type="even" r:id="rId16"/>
      <w:headerReference w:type="default" r:id="rId17"/>
      <w:footerReference w:type="even" r:id="rId18"/>
      <w:footerReference w:type="default" r:id="rId19"/>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2B60" w14:textId="77777777" w:rsidR="009E5480" w:rsidRDefault="009E5480" w:rsidP="00126D77">
      <w:r>
        <w:separator/>
      </w:r>
    </w:p>
  </w:endnote>
  <w:endnote w:type="continuationSeparator" w:id="0">
    <w:p w14:paraId="2BB55F6E" w14:textId="77777777" w:rsidR="009E5480" w:rsidRDefault="009E5480"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altName w:val="Courier New"/>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EndPr>
      <w:rPr>
        <w:rStyle w:val="PageNumber"/>
      </w:rPr>
    </w:sdtEnd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041521"/>
      <w:docPartObj>
        <w:docPartGallery w:val="Page Numbers (Bottom of Page)"/>
        <w:docPartUnique/>
      </w:docPartObj>
    </w:sdtPr>
    <w:sdtEndPr>
      <w:rPr>
        <w:noProof/>
      </w:rPr>
    </w:sdtEndPr>
    <w:sdtContent>
      <w:p w14:paraId="761A6971" w14:textId="4EE7F4C7" w:rsidR="0089662A" w:rsidRDefault="00896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8B6AE" w14:textId="77777777" w:rsidR="00641ADD" w:rsidRDefault="00641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C6279" w14:textId="77777777" w:rsidR="009E5480" w:rsidRDefault="009E5480" w:rsidP="0060186D">
      <w:pPr>
        <w:spacing w:after="0" w:line="110" w:lineRule="exact"/>
      </w:pPr>
    </w:p>
  </w:footnote>
  <w:footnote w:type="continuationSeparator" w:id="0">
    <w:p w14:paraId="6E192FE2" w14:textId="77777777" w:rsidR="009E5480" w:rsidRPr="00BB7AEF" w:rsidRDefault="009E5480" w:rsidP="00BB7AEF">
      <w:pPr>
        <w:spacing w:after="0" w:line="20" w:lineRule="exact"/>
        <w:rPr>
          <w:sz w:val="2"/>
        </w:rPr>
      </w:pPr>
    </w:p>
  </w:footnote>
  <w:footnote w:type="continuationNotice" w:id="1">
    <w:p w14:paraId="0AD9ABAB" w14:textId="77777777" w:rsidR="009E5480" w:rsidRPr="00AE67B5" w:rsidRDefault="009E5480"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EndPr>
      <w:rPr>
        <w:rStyle w:val="PageNumber"/>
      </w:rPr>
    </w:sdtEnd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07D"/>
    <w:multiLevelType w:val="multilevel"/>
    <w:tmpl w:val="AFB4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83ECB"/>
    <w:multiLevelType w:val="multilevel"/>
    <w:tmpl w:val="45EE1178"/>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72837"/>
    <w:multiLevelType w:val="multilevel"/>
    <w:tmpl w:val="34A293FC"/>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B6F6466"/>
    <w:multiLevelType w:val="multilevel"/>
    <w:tmpl w:val="23E8DCAA"/>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45A36"/>
    <w:multiLevelType w:val="multilevel"/>
    <w:tmpl w:val="0C14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517E82"/>
    <w:multiLevelType w:val="hybridMultilevel"/>
    <w:tmpl w:val="7160F91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994534"/>
    <w:multiLevelType w:val="multilevel"/>
    <w:tmpl w:val="2C18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9108F"/>
    <w:multiLevelType w:val="multilevel"/>
    <w:tmpl w:val="E62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B3D13"/>
    <w:multiLevelType w:val="multilevel"/>
    <w:tmpl w:val="6FE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2024F"/>
    <w:multiLevelType w:val="hybridMultilevel"/>
    <w:tmpl w:val="8340CB06"/>
    <w:lvl w:ilvl="0" w:tplc="C6809466">
      <w:start w:val="1"/>
      <w:numFmt w:val="decimal"/>
      <w:lvlText w:val="%1."/>
      <w:lvlJc w:val="left"/>
      <w:pPr>
        <w:ind w:left="274" w:hanging="360"/>
      </w:pPr>
      <w:rPr>
        <w:rFonts w:hint="default"/>
      </w:rPr>
    </w:lvl>
    <w:lvl w:ilvl="1" w:tplc="04090019" w:tentative="1">
      <w:start w:val="1"/>
      <w:numFmt w:val="lowerLetter"/>
      <w:lvlText w:val="%2."/>
      <w:lvlJc w:val="left"/>
      <w:pPr>
        <w:ind w:left="994" w:hanging="360"/>
      </w:pPr>
    </w:lvl>
    <w:lvl w:ilvl="2" w:tplc="0409001B" w:tentative="1">
      <w:start w:val="1"/>
      <w:numFmt w:val="lowerRoman"/>
      <w:lvlText w:val="%3."/>
      <w:lvlJc w:val="right"/>
      <w:pPr>
        <w:ind w:left="1714" w:hanging="180"/>
      </w:pPr>
    </w:lvl>
    <w:lvl w:ilvl="3" w:tplc="0409000F" w:tentative="1">
      <w:start w:val="1"/>
      <w:numFmt w:val="decimal"/>
      <w:lvlText w:val="%4."/>
      <w:lvlJc w:val="left"/>
      <w:pPr>
        <w:ind w:left="2434" w:hanging="360"/>
      </w:pPr>
    </w:lvl>
    <w:lvl w:ilvl="4" w:tplc="04090019" w:tentative="1">
      <w:start w:val="1"/>
      <w:numFmt w:val="lowerLetter"/>
      <w:lvlText w:val="%5."/>
      <w:lvlJc w:val="left"/>
      <w:pPr>
        <w:ind w:left="3154" w:hanging="360"/>
      </w:pPr>
    </w:lvl>
    <w:lvl w:ilvl="5" w:tplc="0409001B" w:tentative="1">
      <w:start w:val="1"/>
      <w:numFmt w:val="lowerRoman"/>
      <w:lvlText w:val="%6."/>
      <w:lvlJc w:val="right"/>
      <w:pPr>
        <w:ind w:left="3874" w:hanging="180"/>
      </w:pPr>
    </w:lvl>
    <w:lvl w:ilvl="6" w:tplc="0409000F" w:tentative="1">
      <w:start w:val="1"/>
      <w:numFmt w:val="decimal"/>
      <w:lvlText w:val="%7."/>
      <w:lvlJc w:val="left"/>
      <w:pPr>
        <w:ind w:left="4594" w:hanging="360"/>
      </w:pPr>
    </w:lvl>
    <w:lvl w:ilvl="7" w:tplc="04090019" w:tentative="1">
      <w:start w:val="1"/>
      <w:numFmt w:val="lowerLetter"/>
      <w:lvlText w:val="%8."/>
      <w:lvlJc w:val="left"/>
      <w:pPr>
        <w:ind w:left="5314" w:hanging="360"/>
      </w:pPr>
    </w:lvl>
    <w:lvl w:ilvl="8" w:tplc="0409001B" w:tentative="1">
      <w:start w:val="1"/>
      <w:numFmt w:val="lowerRoman"/>
      <w:lvlText w:val="%9."/>
      <w:lvlJc w:val="right"/>
      <w:pPr>
        <w:ind w:left="6034" w:hanging="180"/>
      </w:pPr>
    </w:lvl>
  </w:abstractNum>
  <w:abstractNum w:abstractNumId="10"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4047A3"/>
    <w:multiLevelType w:val="multilevel"/>
    <w:tmpl w:val="E532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35F90"/>
    <w:multiLevelType w:val="multilevel"/>
    <w:tmpl w:val="A578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087B25"/>
    <w:multiLevelType w:val="multilevel"/>
    <w:tmpl w:val="25C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312397"/>
    <w:multiLevelType w:val="multilevel"/>
    <w:tmpl w:val="265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AD1075"/>
    <w:multiLevelType w:val="multilevel"/>
    <w:tmpl w:val="0D6A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2A34CF"/>
    <w:multiLevelType w:val="multilevel"/>
    <w:tmpl w:val="7194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71E52D52"/>
    <w:multiLevelType w:val="hybridMultilevel"/>
    <w:tmpl w:val="BB4A7902"/>
    <w:lvl w:ilvl="0" w:tplc="A3544780">
      <w:start w:val="1"/>
      <w:numFmt w:val="decimal"/>
      <w:lvlText w:val="Step %1."/>
      <w:lvlJc w:val="right"/>
      <w:pPr>
        <w:tabs>
          <w:tab w:val="num" w:pos="1613"/>
        </w:tabs>
        <w:ind w:left="1613" w:hanging="72"/>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9565DD"/>
    <w:multiLevelType w:val="multilevel"/>
    <w:tmpl w:val="2AA8B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18062E"/>
    <w:multiLevelType w:val="multilevel"/>
    <w:tmpl w:val="733E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04F69"/>
    <w:multiLevelType w:val="multilevel"/>
    <w:tmpl w:val="51F4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582F60"/>
    <w:multiLevelType w:val="multilevel"/>
    <w:tmpl w:val="78E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150910">
    <w:abstractNumId w:val="17"/>
  </w:num>
  <w:num w:numId="2" w16cid:durableId="1227452638">
    <w:abstractNumId w:val="2"/>
  </w:num>
  <w:num w:numId="3" w16cid:durableId="544218533">
    <w:abstractNumId w:val="15"/>
  </w:num>
  <w:num w:numId="4" w16cid:durableId="1414545350">
    <w:abstractNumId w:val="10"/>
  </w:num>
  <w:num w:numId="5" w16cid:durableId="444734989">
    <w:abstractNumId w:val="19"/>
  </w:num>
  <w:num w:numId="6" w16cid:durableId="156002620">
    <w:abstractNumId w:val="10"/>
    <w:lvlOverride w:ilvl="0">
      <w:startOverride w:val="1"/>
    </w:lvlOverride>
  </w:num>
  <w:num w:numId="7" w16cid:durableId="1530800438">
    <w:abstractNumId w:val="24"/>
  </w:num>
  <w:num w:numId="8" w16cid:durableId="1883786431">
    <w:abstractNumId w:val="7"/>
  </w:num>
  <w:num w:numId="9" w16cid:durableId="366178953">
    <w:abstractNumId w:val="22"/>
  </w:num>
  <w:num w:numId="10" w16cid:durableId="1644306929">
    <w:abstractNumId w:val="6"/>
  </w:num>
  <w:num w:numId="11" w16cid:durableId="1787694178">
    <w:abstractNumId w:val="11"/>
  </w:num>
  <w:num w:numId="12" w16cid:durableId="450512189">
    <w:abstractNumId w:val="8"/>
  </w:num>
  <w:num w:numId="13" w16cid:durableId="574165928">
    <w:abstractNumId w:val="21"/>
  </w:num>
  <w:num w:numId="14" w16cid:durableId="645820495">
    <w:abstractNumId w:val="16"/>
  </w:num>
  <w:num w:numId="15" w16cid:durableId="1503468124">
    <w:abstractNumId w:val="12"/>
  </w:num>
  <w:num w:numId="16" w16cid:durableId="1106196964">
    <w:abstractNumId w:val="23"/>
  </w:num>
  <w:num w:numId="17" w16cid:durableId="950821826">
    <w:abstractNumId w:val="3"/>
  </w:num>
  <w:num w:numId="18" w16cid:durableId="100414824">
    <w:abstractNumId w:val="0"/>
  </w:num>
  <w:num w:numId="19" w16cid:durableId="140079439">
    <w:abstractNumId w:val="1"/>
  </w:num>
  <w:num w:numId="20" w16cid:durableId="436801085">
    <w:abstractNumId w:val="20"/>
  </w:num>
  <w:num w:numId="21" w16cid:durableId="190999063">
    <w:abstractNumId w:val="19"/>
    <w:lvlOverride w:ilvl="0">
      <w:startOverride w:val="1"/>
    </w:lvlOverride>
  </w:num>
  <w:num w:numId="22" w16cid:durableId="1658879394">
    <w:abstractNumId w:val="13"/>
  </w:num>
  <w:num w:numId="23" w16cid:durableId="785732124">
    <w:abstractNumId w:val="5"/>
  </w:num>
  <w:num w:numId="24" w16cid:durableId="1474445640">
    <w:abstractNumId w:val="2"/>
    <w:lvlOverride w:ilvl="0">
      <w:startOverride w:val="6"/>
    </w:lvlOverride>
  </w:num>
  <w:num w:numId="25" w16cid:durableId="1461419228">
    <w:abstractNumId w:val="9"/>
  </w:num>
  <w:num w:numId="26" w16cid:durableId="108671731">
    <w:abstractNumId w:val="18"/>
  </w:num>
  <w:num w:numId="27" w16cid:durableId="447043964">
    <w:abstractNumId w:val="14"/>
  </w:num>
  <w:num w:numId="28" w16cid:durableId="182518309">
    <w:abstractNumId w:val="4"/>
  </w:num>
  <w:num w:numId="29" w16cid:durableId="2124156049">
    <w:abstractNumId w:val="2"/>
    <w:lvlOverride w:ilvl="0">
      <w:startOverride w:val="5"/>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0BE"/>
    <w:rsid w:val="00002321"/>
    <w:rsid w:val="000040AF"/>
    <w:rsid w:val="000107FF"/>
    <w:rsid w:val="000115A8"/>
    <w:rsid w:val="000125EB"/>
    <w:rsid w:val="00015661"/>
    <w:rsid w:val="0001758E"/>
    <w:rsid w:val="00020CE7"/>
    <w:rsid w:val="000227CF"/>
    <w:rsid w:val="0002420C"/>
    <w:rsid w:val="000305AA"/>
    <w:rsid w:val="00030A1C"/>
    <w:rsid w:val="00030F47"/>
    <w:rsid w:val="00031ACE"/>
    <w:rsid w:val="00031B1F"/>
    <w:rsid w:val="00031E19"/>
    <w:rsid w:val="000326E2"/>
    <w:rsid w:val="00032D13"/>
    <w:rsid w:val="0003569C"/>
    <w:rsid w:val="0004097D"/>
    <w:rsid w:val="000435DE"/>
    <w:rsid w:val="00043A15"/>
    <w:rsid w:val="00045282"/>
    <w:rsid w:val="00046755"/>
    <w:rsid w:val="00046CC6"/>
    <w:rsid w:val="000473E1"/>
    <w:rsid w:val="00053A61"/>
    <w:rsid w:val="000576D8"/>
    <w:rsid w:val="00060B34"/>
    <w:rsid w:val="00060DEA"/>
    <w:rsid w:val="000613DF"/>
    <w:rsid w:val="00062881"/>
    <w:rsid w:val="00064626"/>
    <w:rsid w:val="00071F4D"/>
    <w:rsid w:val="000731FE"/>
    <w:rsid w:val="000733EC"/>
    <w:rsid w:val="000736BA"/>
    <w:rsid w:val="0007537F"/>
    <w:rsid w:val="00077849"/>
    <w:rsid w:val="00082DC0"/>
    <w:rsid w:val="00084043"/>
    <w:rsid w:val="000842AF"/>
    <w:rsid w:val="0008560D"/>
    <w:rsid w:val="00086B39"/>
    <w:rsid w:val="0009102C"/>
    <w:rsid w:val="00091B87"/>
    <w:rsid w:val="0009361A"/>
    <w:rsid w:val="00094DB5"/>
    <w:rsid w:val="000A01AF"/>
    <w:rsid w:val="000A0956"/>
    <w:rsid w:val="000A15AF"/>
    <w:rsid w:val="000A418D"/>
    <w:rsid w:val="000A4411"/>
    <w:rsid w:val="000A53D0"/>
    <w:rsid w:val="000A5AA6"/>
    <w:rsid w:val="000A6628"/>
    <w:rsid w:val="000B1B4F"/>
    <w:rsid w:val="000B6003"/>
    <w:rsid w:val="000B6800"/>
    <w:rsid w:val="000B7741"/>
    <w:rsid w:val="000C1B2E"/>
    <w:rsid w:val="000C1C64"/>
    <w:rsid w:val="000C3283"/>
    <w:rsid w:val="000C3515"/>
    <w:rsid w:val="000C415F"/>
    <w:rsid w:val="000C4171"/>
    <w:rsid w:val="000C4384"/>
    <w:rsid w:val="000C486C"/>
    <w:rsid w:val="000C5000"/>
    <w:rsid w:val="000C5174"/>
    <w:rsid w:val="000D17EA"/>
    <w:rsid w:val="000D1C05"/>
    <w:rsid w:val="000D230A"/>
    <w:rsid w:val="000D24B3"/>
    <w:rsid w:val="000D2A90"/>
    <w:rsid w:val="000D59F1"/>
    <w:rsid w:val="000D6A8A"/>
    <w:rsid w:val="000E1BD8"/>
    <w:rsid w:val="000E2391"/>
    <w:rsid w:val="000E4B49"/>
    <w:rsid w:val="000E63A9"/>
    <w:rsid w:val="000F5ACE"/>
    <w:rsid w:val="000F6C8C"/>
    <w:rsid w:val="001026FF"/>
    <w:rsid w:val="00103C84"/>
    <w:rsid w:val="00106BC3"/>
    <w:rsid w:val="0011139F"/>
    <w:rsid w:val="00117ECF"/>
    <w:rsid w:val="001226B8"/>
    <w:rsid w:val="001227A5"/>
    <w:rsid w:val="00124EC2"/>
    <w:rsid w:val="00126D77"/>
    <w:rsid w:val="00132FF3"/>
    <w:rsid w:val="001339FA"/>
    <w:rsid w:val="00135B1D"/>
    <w:rsid w:val="001366F3"/>
    <w:rsid w:val="00136C97"/>
    <w:rsid w:val="00140571"/>
    <w:rsid w:val="00140A12"/>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67D3C"/>
    <w:rsid w:val="0017086D"/>
    <w:rsid w:val="0017206B"/>
    <w:rsid w:val="00172F24"/>
    <w:rsid w:val="00173802"/>
    <w:rsid w:val="00173B0C"/>
    <w:rsid w:val="00173D74"/>
    <w:rsid w:val="00173F22"/>
    <w:rsid w:val="00175365"/>
    <w:rsid w:val="00176C48"/>
    <w:rsid w:val="00176FCE"/>
    <w:rsid w:val="00182071"/>
    <w:rsid w:val="0018382A"/>
    <w:rsid w:val="00184E25"/>
    <w:rsid w:val="001879C8"/>
    <w:rsid w:val="00193F58"/>
    <w:rsid w:val="001942D7"/>
    <w:rsid w:val="00194787"/>
    <w:rsid w:val="00194E97"/>
    <w:rsid w:val="001A10F2"/>
    <w:rsid w:val="001A1AB8"/>
    <w:rsid w:val="001A228E"/>
    <w:rsid w:val="001A4533"/>
    <w:rsid w:val="001A48DF"/>
    <w:rsid w:val="001A64B4"/>
    <w:rsid w:val="001A657B"/>
    <w:rsid w:val="001B415A"/>
    <w:rsid w:val="001B681E"/>
    <w:rsid w:val="001B6BE1"/>
    <w:rsid w:val="001C00F6"/>
    <w:rsid w:val="001C5252"/>
    <w:rsid w:val="001C52FB"/>
    <w:rsid w:val="001C60A6"/>
    <w:rsid w:val="001C737D"/>
    <w:rsid w:val="001C7DFD"/>
    <w:rsid w:val="001C7E2A"/>
    <w:rsid w:val="001D2B7D"/>
    <w:rsid w:val="001D3C16"/>
    <w:rsid w:val="001D53A4"/>
    <w:rsid w:val="001D54D1"/>
    <w:rsid w:val="001D7DCD"/>
    <w:rsid w:val="001E0F5D"/>
    <w:rsid w:val="001E21C6"/>
    <w:rsid w:val="001E2624"/>
    <w:rsid w:val="001E265E"/>
    <w:rsid w:val="001E2A54"/>
    <w:rsid w:val="001E30C7"/>
    <w:rsid w:val="001E56D1"/>
    <w:rsid w:val="001E5ABC"/>
    <w:rsid w:val="001E5E5E"/>
    <w:rsid w:val="001E6780"/>
    <w:rsid w:val="001E6804"/>
    <w:rsid w:val="001F07CB"/>
    <w:rsid w:val="001F1496"/>
    <w:rsid w:val="001F1E50"/>
    <w:rsid w:val="001F4393"/>
    <w:rsid w:val="001F4AFC"/>
    <w:rsid w:val="001F5005"/>
    <w:rsid w:val="001F54A1"/>
    <w:rsid w:val="001F5AFD"/>
    <w:rsid w:val="00203DBD"/>
    <w:rsid w:val="002052ED"/>
    <w:rsid w:val="00206ACA"/>
    <w:rsid w:val="002109C8"/>
    <w:rsid w:val="002132E3"/>
    <w:rsid w:val="0022085A"/>
    <w:rsid w:val="00220D4B"/>
    <w:rsid w:val="00223D65"/>
    <w:rsid w:val="00223D86"/>
    <w:rsid w:val="0022524E"/>
    <w:rsid w:val="00226450"/>
    <w:rsid w:val="0022738A"/>
    <w:rsid w:val="00227B52"/>
    <w:rsid w:val="00227D91"/>
    <w:rsid w:val="00231298"/>
    <w:rsid w:val="00231F99"/>
    <w:rsid w:val="00233DD5"/>
    <w:rsid w:val="00236BE1"/>
    <w:rsid w:val="0024142B"/>
    <w:rsid w:val="002418FE"/>
    <w:rsid w:val="00244C89"/>
    <w:rsid w:val="00244DA3"/>
    <w:rsid w:val="00244E57"/>
    <w:rsid w:val="00246D11"/>
    <w:rsid w:val="00247A77"/>
    <w:rsid w:val="002519B6"/>
    <w:rsid w:val="00251DA6"/>
    <w:rsid w:val="002540F0"/>
    <w:rsid w:val="00257B56"/>
    <w:rsid w:val="00260A81"/>
    <w:rsid w:val="0026126F"/>
    <w:rsid w:val="00261FEF"/>
    <w:rsid w:val="00266C96"/>
    <w:rsid w:val="00270834"/>
    <w:rsid w:val="0027188D"/>
    <w:rsid w:val="00271FF2"/>
    <w:rsid w:val="00272991"/>
    <w:rsid w:val="00275E24"/>
    <w:rsid w:val="00280650"/>
    <w:rsid w:val="00281FCB"/>
    <w:rsid w:val="002839B1"/>
    <w:rsid w:val="0028491E"/>
    <w:rsid w:val="00286C57"/>
    <w:rsid w:val="00287386"/>
    <w:rsid w:val="00290E84"/>
    <w:rsid w:val="00293BC0"/>
    <w:rsid w:val="002948EC"/>
    <w:rsid w:val="00295FAB"/>
    <w:rsid w:val="0029645B"/>
    <w:rsid w:val="002A09D4"/>
    <w:rsid w:val="002A346E"/>
    <w:rsid w:val="002B1C35"/>
    <w:rsid w:val="002B2730"/>
    <w:rsid w:val="002B63CA"/>
    <w:rsid w:val="002B64D6"/>
    <w:rsid w:val="002B688D"/>
    <w:rsid w:val="002B7FCB"/>
    <w:rsid w:val="002C10B1"/>
    <w:rsid w:val="002C1730"/>
    <w:rsid w:val="002C231C"/>
    <w:rsid w:val="002C2EA0"/>
    <w:rsid w:val="002C6457"/>
    <w:rsid w:val="002D34A0"/>
    <w:rsid w:val="002D5B6B"/>
    <w:rsid w:val="002D71BC"/>
    <w:rsid w:val="002E0536"/>
    <w:rsid w:val="002E20C6"/>
    <w:rsid w:val="002E2132"/>
    <w:rsid w:val="002E3618"/>
    <w:rsid w:val="002E3F1B"/>
    <w:rsid w:val="002E47E0"/>
    <w:rsid w:val="002E486D"/>
    <w:rsid w:val="002F4140"/>
    <w:rsid w:val="002F4298"/>
    <w:rsid w:val="002F4366"/>
    <w:rsid w:val="002F5798"/>
    <w:rsid w:val="002F5D9D"/>
    <w:rsid w:val="002F7302"/>
    <w:rsid w:val="002F7BA8"/>
    <w:rsid w:val="00301E06"/>
    <w:rsid w:val="0030242E"/>
    <w:rsid w:val="00302B13"/>
    <w:rsid w:val="003031B7"/>
    <w:rsid w:val="003031BB"/>
    <w:rsid w:val="00303A86"/>
    <w:rsid w:val="00303B10"/>
    <w:rsid w:val="00303D72"/>
    <w:rsid w:val="003044BB"/>
    <w:rsid w:val="003061EB"/>
    <w:rsid w:val="00306688"/>
    <w:rsid w:val="0031149D"/>
    <w:rsid w:val="003125D2"/>
    <w:rsid w:val="00312B37"/>
    <w:rsid w:val="00314FD6"/>
    <w:rsid w:val="0031675A"/>
    <w:rsid w:val="00317D72"/>
    <w:rsid w:val="003208FB"/>
    <w:rsid w:val="00320984"/>
    <w:rsid w:val="00322396"/>
    <w:rsid w:val="00323E0F"/>
    <w:rsid w:val="003259C7"/>
    <w:rsid w:val="00326A4F"/>
    <w:rsid w:val="00327186"/>
    <w:rsid w:val="00332735"/>
    <w:rsid w:val="00340B08"/>
    <w:rsid w:val="00347411"/>
    <w:rsid w:val="00351C5A"/>
    <w:rsid w:val="00353B50"/>
    <w:rsid w:val="00356171"/>
    <w:rsid w:val="00356F39"/>
    <w:rsid w:val="00360939"/>
    <w:rsid w:val="00361865"/>
    <w:rsid w:val="00361A3E"/>
    <w:rsid w:val="00361B76"/>
    <w:rsid w:val="00365D1C"/>
    <w:rsid w:val="00366883"/>
    <w:rsid w:val="00366B2D"/>
    <w:rsid w:val="00370DCB"/>
    <w:rsid w:val="00370F79"/>
    <w:rsid w:val="00373528"/>
    <w:rsid w:val="00373663"/>
    <w:rsid w:val="0037558A"/>
    <w:rsid w:val="00375C3C"/>
    <w:rsid w:val="00375FF8"/>
    <w:rsid w:val="00381636"/>
    <w:rsid w:val="003825F5"/>
    <w:rsid w:val="00383338"/>
    <w:rsid w:val="00385D86"/>
    <w:rsid w:val="00390FA2"/>
    <w:rsid w:val="00394516"/>
    <w:rsid w:val="00394E3E"/>
    <w:rsid w:val="003961A6"/>
    <w:rsid w:val="003A4141"/>
    <w:rsid w:val="003A46EA"/>
    <w:rsid w:val="003A4970"/>
    <w:rsid w:val="003A5B76"/>
    <w:rsid w:val="003A62EB"/>
    <w:rsid w:val="003A7D06"/>
    <w:rsid w:val="003B0B8B"/>
    <w:rsid w:val="003B10B4"/>
    <w:rsid w:val="003B4A52"/>
    <w:rsid w:val="003B5280"/>
    <w:rsid w:val="003B7F2C"/>
    <w:rsid w:val="003C05B2"/>
    <w:rsid w:val="003C2E77"/>
    <w:rsid w:val="003C3139"/>
    <w:rsid w:val="003C529A"/>
    <w:rsid w:val="003C6820"/>
    <w:rsid w:val="003D0ED4"/>
    <w:rsid w:val="003D276E"/>
    <w:rsid w:val="003D5919"/>
    <w:rsid w:val="003D6955"/>
    <w:rsid w:val="003E098F"/>
    <w:rsid w:val="003E18DB"/>
    <w:rsid w:val="003E21C6"/>
    <w:rsid w:val="003E23C6"/>
    <w:rsid w:val="003E3840"/>
    <w:rsid w:val="003E687F"/>
    <w:rsid w:val="003E7050"/>
    <w:rsid w:val="003F0FE8"/>
    <w:rsid w:val="003F106D"/>
    <w:rsid w:val="003F1D87"/>
    <w:rsid w:val="003F7B8C"/>
    <w:rsid w:val="00401C99"/>
    <w:rsid w:val="004027C6"/>
    <w:rsid w:val="00403820"/>
    <w:rsid w:val="00405F6A"/>
    <w:rsid w:val="00407341"/>
    <w:rsid w:val="004075D5"/>
    <w:rsid w:val="004078D4"/>
    <w:rsid w:val="004132B8"/>
    <w:rsid w:val="0041391B"/>
    <w:rsid w:val="004156C8"/>
    <w:rsid w:val="00417D55"/>
    <w:rsid w:val="00417F0E"/>
    <w:rsid w:val="00422802"/>
    <w:rsid w:val="00422A19"/>
    <w:rsid w:val="00422BCE"/>
    <w:rsid w:val="004248B1"/>
    <w:rsid w:val="00425FB1"/>
    <w:rsid w:val="00426676"/>
    <w:rsid w:val="0043014A"/>
    <w:rsid w:val="0043030F"/>
    <w:rsid w:val="0043107E"/>
    <w:rsid w:val="004312E4"/>
    <w:rsid w:val="00436BB2"/>
    <w:rsid w:val="00441B09"/>
    <w:rsid w:val="00443D14"/>
    <w:rsid w:val="00445447"/>
    <w:rsid w:val="004455D7"/>
    <w:rsid w:val="00450874"/>
    <w:rsid w:val="004508B1"/>
    <w:rsid w:val="00451B4A"/>
    <w:rsid w:val="00453709"/>
    <w:rsid w:val="0045390F"/>
    <w:rsid w:val="004563FE"/>
    <w:rsid w:val="004571F2"/>
    <w:rsid w:val="0045755B"/>
    <w:rsid w:val="00460451"/>
    <w:rsid w:val="00463D6D"/>
    <w:rsid w:val="00464893"/>
    <w:rsid w:val="004670E8"/>
    <w:rsid w:val="004676C6"/>
    <w:rsid w:val="00470D9A"/>
    <w:rsid w:val="0047173B"/>
    <w:rsid w:val="00472536"/>
    <w:rsid w:val="004757F8"/>
    <w:rsid w:val="004771C4"/>
    <w:rsid w:val="004776D3"/>
    <w:rsid w:val="004828E3"/>
    <w:rsid w:val="004838FC"/>
    <w:rsid w:val="00490DE6"/>
    <w:rsid w:val="00491C67"/>
    <w:rsid w:val="00492688"/>
    <w:rsid w:val="004939A8"/>
    <w:rsid w:val="00493F27"/>
    <w:rsid w:val="004948E5"/>
    <w:rsid w:val="00495608"/>
    <w:rsid w:val="00495866"/>
    <w:rsid w:val="004A071E"/>
    <w:rsid w:val="004A11B2"/>
    <w:rsid w:val="004A25C9"/>
    <w:rsid w:val="004A382E"/>
    <w:rsid w:val="004A3E87"/>
    <w:rsid w:val="004A49BA"/>
    <w:rsid w:val="004A49E4"/>
    <w:rsid w:val="004A62B1"/>
    <w:rsid w:val="004A639B"/>
    <w:rsid w:val="004B0181"/>
    <w:rsid w:val="004B0294"/>
    <w:rsid w:val="004B1B29"/>
    <w:rsid w:val="004B1DAA"/>
    <w:rsid w:val="004B2D19"/>
    <w:rsid w:val="004B33A3"/>
    <w:rsid w:val="004B75CF"/>
    <w:rsid w:val="004C0F0E"/>
    <w:rsid w:val="004C5813"/>
    <w:rsid w:val="004C69D3"/>
    <w:rsid w:val="004C7019"/>
    <w:rsid w:val="004E725D"/>
    <w:rsid w:val="004F0C8B"/>
    <w:rsid w:val="004F1A69"/>
    <w:rsid w:val="004F2849"/>
    <w:rsid w:val="004F59AE"/>
    <w:rsid w:val="004F6A63"/>
    <w:rsid w:val="0050283F"/>
    <w:rsid w:val="0050301B"/>
    <w:rsid w:val="00503921"/>
    <w:rsid w:val="00504524"/>
    <w:rsid w:val="00505A7B"/>
    <w:rsid w:val="0050660D"/>
    <w:rsid w:val="005075D1"/>
    <w:rsid w:val="00507A8F"/>
    <w:rsid w:val="00510B25"/>
    <w:rsid w:val="00511091"/>
    <w:rsid w:val="0051183B"/>
    <w:rsid w:val="00512A74"/>
    <w:rsid w:val="0051349A"/>
    <w:rsid w:val="00513F4E"/>
    <w:rsid w:val="00515652"/>
    <w:rsid w:val="00520730"/>
    <w:rsid w:val="005253BF"/>
    <w:rsid w:val="005256E3"/>
    <w:rsid w:val="005258D7"/>
    <w:rsid w:val="00525B65"/>
    <w:rsid w:val="00527923"/>
    <w:rsid w:val="005304FB"/>
    <w:rsid w:val="00531346"/>
    <w:rsid w:val="00531C40"/>
    <w:rsid w:val="0053288B"/>
    <w:rsid w:val="005332DA"/>
    <w:rsid w:val="0053417D"/>
    <w:rsid w:val="005351A8"/>
    <w:rsid w:val="005369E2"/>
    <w:rsid w:val="005374D5"/>
    <w:rsid w:val="0054029E"/>
    <w:rsid w:val="005436CB"/>
    <w:rsid w:val="00544939"/>
    <w:rsid w:val="00547E40"/>
    <w:rsid w:val="0055158D"/>
    <w:rsid w:val="005524B1"/>
    <w:rsid w:val="0055510F"/>
    <w:rsid w:val="005568AA"/>
    <w:rsid w:val="00556A31"/>
    <w:rsid w:val="00560E4C"/>
    <w:rsid w:val="0056277D"/>
    <w:rsid w:val="00564E59"/>
    <w:rsid w:val="005659DE"/>
    <w:rsid w:val="005677F7"/>
    <w:rsid w:val="005704B7"/>
    <w:rsid w:val="005710B4"/>
    <w:rsid w:val="00571AF4"/>
    <w:rsid w:val="00572228"/>
    <w:rsid w:val="00572C26"/>
    <w:rsid w:val="00573057"/>
    <w:rsid w:val="005735CD"/>
    <w:rsid w:val="00574BFB"/>
    <w:rsid w:val="00575049"/>
    <w:rsid w:val="0058014E"/>
    <w:rsid w:val="00580D8A"/>
    <w:rsid w:val="00582118"/>
    <w:rsid w:val="00582C45"/>
    <w:rsid w:val="005838F8"/>
    <w:rsid w:val="00585205"/>
    <w:rsid w:val="005854C2"/>
    <w:rsid w:val="005946D4"/>
    <w:rsid w:val="0059530D"/>
    <w:rsid w:val="005961B9"/>
    <w:rsid w:val="00597142"/>
    <w:rsid w:val="005A199A"/>
    <w:rsid w:val="005A67C5"/>
    <w:rsid w:val="005A757A"/>
    <w:rsid w:val="005B0A9F"/>
    <w:rsid w:val="005B4D84"/>
    <w:rsid w:val="005B5814"/>
    <w:rsid w:val="005B7109"/>
    <w:rsid w:val="005C15AC"/>
    <w:rsid w:val="005C20EF"/>
    <w:rsid w:val="005C277F"/>
    <w:rsid w:val="005C35A0"/>
    <w:rsid w:val="005C39F5"/>
    <w:rsid w:val="005C44D9"/>
    <w:rsid w:val="005C5B9C"/>
    <w:rsid w:val="005C7195"/>
    <w:rsid w:val="005C751E"/>
    <w:rsid w:val="005C7986"/>
    <w:rsid w:val="005D2A31"/>
    <w:rsid w:val="005D59EA"/>
    <w:rsid w:val="005D5E76"/>
    <w:rsid w:val="005D618E"/>
    <w:rsid w:val="005D6EC9"/>
    <w:rsid w:val="005E41E0"/>
    <w:rsid w:val="005E7273"/>
    <w:rsid w:val="005F1416"/>
    <w:rsid w:val="005F3346"/>
    <w:rsid w:val="005F3F9F"/>
    <w:rsid w:val="005F44C5"/>
    <w:rsid w:val="005F4EC3"/>
    <w:rsid w:val="005F592D"/>
    <w:rsid w:val="0060098C"/>
    <w:rsid w:val="0060186D"/>
    <w:rsid w:val="00601AF3"/>
    <w:rsid w:val="0060274A"/>
    <w:rsid w:val="006038FC"/>
    <w:rsid w:val="0060451B"/>
    <w:rsid w:val="00604BAA"/>
    <w:rsid w:val="0060759C"/>
    <w:rsid w:val="006078B1"/>
    <w:rsid w:val="00610FD9"/>
    <w:rsid w:val="00611EDA"/>
    <w:rsid w:val="00613F6B"/>
    <w:rsid w:val="006152E0"/>
    <w:rsid w:val="0062083E"/>
    <w:rsid w:val="0062248D"/>
    <w:rsid w:val="006239DF"/>
    <w:rsid w:val="00623CC4"/>
    <w:rsid w:val="0062657D"/>
    <w:rsid w:val="00627A0B"/>
    <w:rsid w:val="00631C61"/>
    <w:rsid w:val="0063259F"/>
    <w:rsid w:val="006328F4"/>
    <w:rsid w:val="00633518"/>
    <w:rsid w:val="00633795"/>
    <w:rsid w:val="00633FF5"/>
    <w:rsid w:val="006343CB"/>
    <w:rsid w:val="00635310"/>
    <w:rsid w:val="006403FC"/>
    <w:rsid w:val="00641ADD"/>
    <w:rsid w:val="00642705"/>
    <w:rsid w:val="006429CC"/>
    <w:rsid w:val="00645E4C"/>
    <w:rsid w:val="00647F1D"/>
    <w:rsid w:val="0065221C"/>
    <w:rsid w:val="00652FE8"/>
    <w:rsid w:val="006542D6"/>
    <w:rsid w:val="00656180"/>
    <w:rsid w:val="006566D5"/>
    <w:rsid w:val="00656EF8"/>
    <w:rsid w:val="00661942"/>
    <w:rsid w:val="00661E5A"/>
    <w:rsid w:val="00663701"/>
    <w:rsid w:val="006650DC"/>
    <w:rsid w:val="006666B5"/>
    <w:rsid w:val="00666889"/>
    <w:rsid w:val="00670915"/>
    <w:rsid w:val="00671B18"/>
    <w:rsid w:val="0067327C"/>
    <w:rsid w:val="00673339"/>
    <w:rsid w:val="00674519"/>
    <w:rsid w:val="00674DBB"/>
    <w:rsid w:val="00681B94"/>
    <w:rsid w:val="006833E5"/>
    <w:rsid w:val="00684099"/>
    <w:rsid w:val="00684943"/>
    <w:rsid w:val="006854EC"/>
    <w:rsid w:val="00685DB6"/>
    <w:rsid w:val="0068600F"/>
    <w:rsid w:val="00687603"/>
    <w:rsid w:val="006878DF"/>
    <w:rsid w:val="006A0EB9"/>
    <w:rsid w:val="006A21AC"/>
    <w:rsid w:val="006A3962"/>
    <w:rsid w:val="006A46B2"/>
    <w:rsid w:val="006A4963"/>
    <w:rsid w:val="006A5CC2"/>
    <w:rsid w:val="006B469E"/>
    <w:rsid w:val="006B7398"/>
    <w:rsid w:val="006B7CA6"/>
    <w:rsid w:val="006C0765"/>
    <w:rsid w:val="006C1FEE"/>
    <w:rsid w:val="006C4683"/>
    <w:rsid w:val="006C500F"/>
    <w:rsid w:val="006D2120"/>
    <w:rsid w:val="006D3558"/>
    <w:rsid w:val="006D6EA5"/>
    <w:rsid w:val="006D7E6A"/>
    <w:rsid w:val="006E2CDA"/>
    <w:rsid w:val="006E6FF9"/>
    <w:rsid w:val="006E742D"/>
    <w:rsid w:val="006F6F00"/>
    <w:rsid w:val="007008BF"/>
    <w:rsid w:val="00703884"/>
    <w:rsid w:val="00704C2B"/>
    <w:rsid w:val="0070506F"/>
    <w:rsid w:val="0070617C"/>
    <w:rsid w:val="007070F0"/>
    <w:rsid w:val="0071202E"/>
    <w:rsid w:val="007144E9"/>
    <w:rsid w:val="007154B3"/>
    <w:rsid w:val="00716A64"/>
    <w:rsid w:val="0071719B"/>
    <w:rsid w:val="007173A1"/>
    <w:rsid w:val="007173BE"/>
    <w:rsid w:val="00722529"/>
    <w:rsid w:val="00723076"/>
    <w:rsid w:val="00723246"/>
    <w:rsid w:val="00723B25"/>
    <w:rsid w:val="00724411"/>
    <w:rsid w:val="00727D87"/>
    <w:rsid w:val="007338C9"/>
    <w:rsid w:val="007361B1"/>
    <w:rsid w:val="00742314"/>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262"/>
    <w:rsid w:val="00784B78"/>
    <w:rsid w:val="00786AA8"/>
    <w:rsid w:val="00786B60"/>
    <w:rsid w:val="007878D4"/>
    <w:rsid w:val="00792D1C"/>
    <w:rsid w:val="007968F0"/>
    <w:rsid w:val="007A092D"/>
    <w:rsid w:val="007A3CCE"/>
    <w:rsid w:val="007A4B7C"/>
    <w:rsid w:val="007A6738"/>
    <w:rsid w:val="007A6994"/>
    <w:rsid w:val="007A6F58"/>
    <w:rsid w:val="007A71BC"/>
    <w:rsid w:val="007B097F"/>
    <w:rsid w:val="007B0FC8"/>
    <w:rsid w:val="007B18A8"/>
    <w:rsid w:val="007B3252"/>
    <w:rsid w:val="007B6574"/>
    <w:rsid w:val="007C1BCB"/>
    <w:rsid w:val="007C2231"/>
    <w:rsid w:val="007C3FE3"/>
    <w:rsid w:val="007C5EC0"/>
    <w:rsid w:val="007C7506"/>
    <w:rsid w:val="007D1EA5"/>
    <w:rsid w:val="007D5DB3"/>
    <w:rsid w:val="007D6D53"/>
    <w:rsid w:val="007F3620"/>
    <w:rsid w:val="007F4A49"/>
    <w:rsid w:val="007F6D17"/>
    <w:rsid w:val="007F6F9E"/>
    <w:rsid w:val="00805B8E"/>
    <w:rsid w:val="00805D71"/>
    <w:rsid w:val="0080655F"/>
    <w:rsid w:val="008065ED"/>
    <w:rsid w:val="008079BE"/>
    <w:rsid w:val="00811198"/>
    <w:rsid w:val="00813FA9"/>
    <w:rsid w:val="00814B73"/>
    <w:rsid w:val="008160F6"/>
    <w:rsid w:val="00817430"/>
    <w:rsid w:val="00820355"/>
    <w:rsid w:val="0082077A"/>
    <w:rsid w:val="00822CA9"/>
    <w:rsid w:val="00823FFC"/>
    <w:rsid w:val="00824049"/>
    <w:rsid w:val="008258A5"/>
    <w:rsid w:val="008259A9"/>
    <w:rsid w:val="008279E3"/>
    <w:rsid w:val="0083055C"/>
    <w:rsid w:val="00830B0D"/>
    <w:rsid w:val="00830B34"/>
    <w:rsid w:val="008315AF"/>
    <w:rsid w:val="00831C5D"/>
    <w:rsid w:val="00832B1C"/>
    <w:rsid w:val="00832F96"/>
    <w:rsid w:val="00833BFD"/>
    <w:rsid w:val="0083711A"/>
    <w:rsid w:val="00841265"/>
    <w:rsid w:val="00843C57"/>
    <w:rsid w:val="008473FD"/>
    <w:rsid w:val="00847761"/>
    <w:rsid w:val="0084784E"/>
    <w:rsid w:val="00851223"/>
    <w:rsid w:val="0085378C"/>
    <w:rsid w:val="00854A8E"/>
    <w:rsid w:val="00856868"/>
    <w:rsid w:val="008568A3"/>
    <w:rsid w:val="00860227"/>
    <w:rsid w:val="00860A57"/>
    <w:rsid w:val="00863002"/>
    <w:rsid w:val="00865103"/>
    <w:rsid w:val="008673FB"/>
    <w:rsid w:val="00870583"/>
    <w:rsid w:val="008729F9"/>
    <w:rsid w:val="00874315"/>
    <w:rsid w:val="0088014F"/>
    <w:rsid w:val="00880F0A"/>
    <w:rsid w:val="00881D0B"/>
    <w:rsid w:val="00882604"/>
    <w:rsid w:val="008839E3"/>
    <w:rsid w:val="00885562"/>
    <w:rsid w:val="008859DF"/>
    <w:rsid w:val="008864B6"/>
    <w:rsid w:val="008878F4"/>
    <w:rsid w:val="0089007B"/>
    <w:rsid w:val="008935B1"/>
    <w:rsid w:val="0089598D"/>
    <w:rsid w:val="008965FE"/>
    <w:rsid w:val="0089662A"/>
    <w:rsid w:val="0089667B"/>
    <w:rsid w:val="00897657"/>
    <w:rsid w:val="008A08BD"/>
    <w:rsid w:val="008A2DCF"/>
    <w:rsid w:val="008A497B"/>
    <w:rsid w:val="008A7193"/>
    <w:rsid w:val="008A7209"/>
    <w:rsid w:val="008A72D0"/>
    <w:rsid w:val="008B1116"/>
    <w:rsid w:val="008B117D"/>
    <w:rsid w:val="008B26C9"/>
    <w:rsid w:val="008B54EB"/>
    <w:rsid w:val="008C0DAD"/>
    <w:rsid w:val="008C10D9"/>
    <w:rsid w:val="008D1678"/>
    <w:rsid w:val="008D2D0A"/>
    <w:rsid w:val="008D4A94"/>
    <w:rsid w:val="008D4C91"/>
    <w:rsid w:val="008D516F"/>
    <w:rsid w:val="008D529D"/>
    <w:rsid w:val="008D5F44"/>
    <w:rsid w:val="008E10D4"/>
    <w:rsid w:val="008E41F2"/>
    <w:rsid w:val="008E6076"/>
    <w:rsid w:val="008E60B3"/>
    <w:rsid w:val="008E6C35"/>
    <w:rsid w:val="008E72DC"/>
    <w:rsid w:val="008E7428"/>
    <w:rsid w:val="008F21AF"/>
    <w:rsid w:val="008F39A4"/>
    <w:rsid w:val="008F448D"/>
    <w:rsid w:val="008F49F9"/>
    <w:rsid w:val="008F5E34"/>
    <w:rsid w:val="008F5F83"/>
    <w:rsid w:val="00900232"/>
    <w:rsid w:val="00900DF3"/>
    <w:rsid w:val="009023D1"/>
    <w:rsid w:val="009027B9"/>
    <w:rsid w:val="00902FC4"/>
    <w:rsid w:val="00905E9C"/>
    <w:rsid w:val="00907467"/>
    <w:rsid w:val="0091480E"/>
    <w:rsid w:val="0092323D"/>
    <w:rsid w:val="009239B2"/>
    <w:rsid w:val="009244AC"/>
    <w:rsid w:val="00925331"/>
    <w:rsid w:val="00927C2B"/>
    <w:rsid w:val="009322EE"/>
    <w:rsid w:val="00941BF5"/>
    <w:rsid w:val="009431E6"/>
    <w:rsid w:val="009441CB"/>
    <w:rsid w:val="00947290"/>
    <w:rsid w:val="009476F0"/>
    <w:rsid w:val="0095024D"/>
    <w:rsid w:val="00951C77"/>
    <w:rsid w:val="009540A3"/>
    <w:rsid w:val="00956BD3"/>
    <w:rsid w:val="00957B31"/>
    <w:rsid w:val="00957FDD"/>
    <w:rsid w:val="00960205"/>
    <w:rsid w:val="00960AF5"/>
    <w:rsid w:val="009613DC"/>
    <w:rsid w:val="0096250C"/>
    <w:rsid w:val="00964083"/>
    <w:rsid w:val="009655B6"/>
    <w:rsid w:val="009703B6"/>
    <w:rsid w:val="00971F12"/>
    <w:rsid w:val="009733A0"/>
    <w:rsid w:val="00973B33"/>
    <w:rsid w:val="0097462D"/>
    <w:rsid w:val="009747B0"/>
    <w:rsid w:val="00975108"/>
    <w:rsid w:val="00975C05"/>
    <w:rsid w:val="009766B9"/>
    <w:rsid w:val="009827C3"/>
    <w:rsid w:val="009832DD"/>
    <w:rsid w:val="0098436B"/>
    <w:rsid w:val="00984F4E"/>
    <w:rsid w:val="00986488"/>
    <w:rsid w:val="0099108D"/>
    <w:rsid w:val="00993B55"/>
    <w:rsid w:val="00993B9B"/>
    <w:rsid w:val="009942AD"/>
    <w:rsid w:val="00994583"/>
    <w:rsid w:val="009947FE"/>
    <w:rsid w:val="00994B2F"/>
    <w:rsid w:val="009A0588"/>
    <w:rsid w:val="009A255E"/>
    <w:rsid w:val="009A2E02"/>
    <w:rsid w:val="009A3B1C"/>
    <w:rsid w:val="009A4DA1"/>
    <w:rsid w:val="009A5B14"/>
    <w:rsid w:val="009B0151"/>
    <w:rsid w:val="009B079E"/>
    <w:rsid w:val="009B4A6B"/>
    <w:rsid w:val="009B6743"/>
    <w:rsid w:val="009B7A17"/>
    <w:rsid w:val="009C0CE1"/>
    <w:rsid w:val="009C1A53"/>
    <w:rsid w:val="009C216A"/>
    <w:rsid w:val="009C282D"/>
    <w:rsid w:val="009C2A4D"/>
    <w:rsid w:val="009C4542"/>
    <w:rsid w:val="009C4CA1"/>
    <w:rsid w:val="009D06F1"/>
    <w:rsid w:val="009D22F3"/>
    <w:rsid w:val="009D4549"/>
    <w:rsid w:val="009D4DAC"/>
    <w:rsid w:val="009D4EEF"/>
    <w:rsid w:val="009D51D1"/>
    <w:rsid w:val="009D758D"/>
    <w:rsid w:val="009E0CCD"/>
    <w:rsid w:val="009E2C14"/>
    <w:rsid w:val="009E2F1C"/>
    <w:rsid w:val="009E51CE"/>
    <w:rsid w:val="009E5480"/>
    <w:rsid w:val="009E574D"/>
    <w:rsid w:val="009E646C"/>
    <w:rsid w:val="009E7E56"/>
    <w:rsid w:val="009F0750"/>
    <w:rsid w:val="009F20B1"/>
    <w:rsid w:val="009F436A"/>
    <w:rsid w:val="009F4E73"/>
    <w:rsid w:val="009F56DE"/>
    <w:rsid w:val="009F7115"/>
    <w:rsid w:val="009F7C5B"/>
    <w:rsid w:val="009F7CE8"/>
    <w:rsid w:val="00A020B7"/>
    <w:rsid w:val="00A0489D"/>
    <w:rsid w:val="00A06825"/>
    <w:rsid w:val="00A0741D"/>
    <w:rsid w:val="00A12200"/>
    <w:rsid w:val="00A15474"/>
    <w:rsid w:val="00A160DB"/>
    <w:rsid w:val="00A1782F"/>
    <w:rsid w:val="00A179C4"/>
    <w:rsid w:val="00A17A2C"/>
    <w:rsid w:val="00A21453"/>
    <w:rsid w:val="00A2208B"/>
    <w:rsid w:val="00A2423E"/>
    <w:rsid w:val="00A24DAC"/>
    <w:rsid w:val="00A24F29"/>
    <w:rsid w:val="00A2511C"/>
    <w:rsid w:val="00A26F70"/>
    <w:rsid w:val="00A30EC0"/>
    <w:rsid w:val="00A3265B"/>
    <w:rsid w:val="00A32EA4"/>
    <w:rsid w:val="00A34D9A"/>
    <w:rsid w:val="00A35CD7"/>
    <w:rsid w:val="00A3622B"/>
    <w:rsid w:val="00A37E91"/>
    <w:rsid w:val="00A40A23"/>
    <w:rsid w:val="00A43232"/>
    <w:rsid w:val="00A43B24"/>
    <w:rsid w:val="00A43ED8"/>
    <w:rsid w:val="00A46351"/>
    <w:rsid w:val="00A5492D"/>
    <w:rsid w:val="00A553C4"/>
    <w:rsid w:val="00A572E3"/>
    <w:rsid w:val="00A60BF2"/>
    <w:rsid w:val="00A619FB"/>
    <w:rsid w:val="00A62E52"/>
    <w:rsid w:val="00A66338"/>
    <w:rsid w:val="00A66B78"/>
    <w:rsid w:val="00A6721B"/>
    <w:rsid w:val="00A7047E"/>
    <w:rsid w:val="00A727E6"/>
    <w:rsid w:val="00A747A0"/>
    <w:rsid w:val="00A74BC6"/>
    <w:rsid w:val="00A75197"/>
    <w:rsid w:val="00A8026B"/>
    <w:rsid w:val="00A82ECA"/>
    <w:rsid w:val="00A849E6"/>
    <w:rsid w:val="00A852D5"/>
    <w:rsid w:val="00A86465"/>
    <w:rsid w:val="00A9001A"/>
    <w:rsid w:val="00A90791"/>
    <w:rsid w:val="00A96A5A"/>
    <w:rsid w:val="00AA2587"/>
    <w:rsid w:val="00AA2F32"/>
    <w:rsid w:val="00AA31C2"/>
    <w:rsid w:val="00AA7119"/>
    <w:rsid w:val="00AA79B2"/>
    <w:rsid w:val="00AB0875"/>
    <w:rsid w:val="00AB1F91"/>
    <w:rsid w:val="00AB31DA"/>
    <w:rsid w:val="00AB3C0D"/>
    <w:rsid w:val="00AC1278"/>
    <w:rsid w:val="00AC329D"/>
    <w:rsid w:val="00AC47DB"/>
    <w:rsid w:val="00AC6E0B"/>
    <w:rsid w:val="00AC76AD"/>
    <w:rsid w:val="00AE0D65"/>
    <w:rsid w:val="00AE377F"/>
    <w:rsid w:val="00AE3E19"/>
    <w:rsid w:val="00AE57E1"/>
    <w:rsid w:val="00AE67B5"/>
    <w:rsid w:val="00AE67D0"/>
    <w:rsid w:val="00AE6807"/>
    <w:rsid w:val="00AF270E"/>
    <w:rsid w:val="00AF51C9"/>
    <w:rsid w:val="00AF601A"/>
    <w:rsid w:val="00AF721C"/>
    <w:rsid w:val="00B031E6"/>
    <w:rsid w:val="00B04A10"/>
    <w:rsid w:val="00B05A8F"/>
    <w:rsid w:val="00B06656"/>
    <w:rsid w:val="00B127CB"/>
    <w:rsid w:val="00B156FD"/>
    <w:rsid w:val="00B1611A"/>
    <w:rsid w:val="00B16C49"/>
    <w:rsid w:val="00B170AF"/>
    <w:rsid w:val="00B218AF"/>
    <w:rsid w:val="00B23830"/>
    <w:rsid w:val="00B247B4"/>
    <w:rsid w:val="00B308FD"/>
    <w:rsid w:val="00B33389"/>
    <w:rsid w:val="00B33C83"/>
    <w:rsid w:val="00B40174"/>
    <w:rsid w:val="00B416DC"/>
    <w:rsid w:val="00B4491E"/>
    <w:rsid w:val="00B52F0F"/>
    <w:rsid w:val="00B53F17"/>
    <w:rsid w:val="00B64007"/>
    <w:rsid w:val="00B651F2"/>
    <w:rsid w:val="00B65552"/>
    <w:rsid w:val="00B67D2F"/>
    <w:rsid w:val="00B74F0A"/>
    <w:rsid w:val="00B76173"/>
    <w:rsid w:val="00B807E7"/>
    <w:rsid w:val="00B80F47"/>
    <w:rsid w:val="00B81716"/>
    <w:rsid w:val="00B83D7C"/>
    <w:rsid w:val="00B8651F"/>
    <w:rsid w:val="00B872B9"/>
    <w:rsid w:val="00B873A7"/>
    <w:rsid w:val="00B907B1"/>
    <w:rsid w:val="00B9450C"/>
    <w:rsid w:val="00B947E2"/>
    <w:rsid w:val="00B95AEF"/>
    <w:rsid w:val="00B96FDF"/>
    <w:rsid w:val="00B974BC"/>
    <w:rsid w:val="00B97B5B"/>
    <w:rsid w:val="00BA171B"/>
    <w:rsid w:val="00BA1B91"/>
    <w:rsid w:val="00BA1E90"/>
    <w:rsid w:val="00BA6B5D"/>
    <w:rsid w:val="00BA7630"/>
    <w:rsid w:val="00BA7C6F"/>
    <w:rsid w:val="00BB0A8D"/>
    <w:rsid w:val="00BB7AEF"/>
    <w:rsid w:val="00BC324F"/>
    <w:rsid w:val="00BC3D73"/>
    <w:rsid w:val="00BC3EEF"/>
    <w:rsid w:val="00BC466F"/>
    <w:rsid w:val="00BC527D"/>
    <w:rsid w:val="00BC6DDA"/>
    <w:rsid w:val="00BC6F36"/>
    <w:rsid w:val="00BC745E"/>
    <w:rsid w:val="00BC76ED"/>
    <w:rsid w:val="00BD00E1"/>
    <w:rsid w:val="00BD1CB0"/>
    <w:rsid w:val="00BD208F"/>
    <w:rsid w:val="00BD296D"/>
    <w:rsid w:val="00BD2B48"/>
    <w:rsid w:val="00BD41ED"/>
    <w:rsid w:val="00BD4F0C"/>
    <w:rsid w:val="00BD57A2"/>
    <w:rsid w:val="00BD5831"/>
    <w:rsid w:val="00BD5911"/>
    <w:rsid w:val="00BD5E30"/>
    <w:rsid w:val="00BD5E4D"/>
    <w:rsid w:val="00BD6C29"/>
    <w:rsid w:val="00BD786D"/>
    <w:rsid w:val="00BE18EF"/>
    <w:rsid w:val="00BE1E36"/>
    <w:rsid w:val="00BE2770"/>
    <w:rsid w:val="00BE415C"/>
    <w:rsid w:val="00BF0817"/>
    <w:rsid w:val="00BF2DBE"/>
    <w:rsid w:val="00BF4FB1"/>
    <w:rsid w:val="00BF5004"/>
    <w:rsid w:val="00BF51B0"/>
    <w:rsid w:val="00BF683C"/>
    <w:rsid w:val="00BF724F"/>
    <w:rsid w:val="00C0044A"/>
    <w:rsid w:val="00C01579"/>
    <w:rsid w:val="00C02835"/>
    <w:rsid w:val="00C030C3"/>
    <w:rsid w:val="00C07485"/>
    <w:rsid w:val="00C078BF"/>
    <w:rsid w:val="00C1381F"/>
    <w:rsid w:val="00C14A16"/>
    <w:rsid w:val="00C15B38"/>
    <w:rsid w:val="00C16258"/>
    <w:rsid w:val="00C20B3A"/>
    <w:rsid w:val="00C23142"/>
    <w:rsid w:val="00C27E30"/>
    <w:rsid w:val="00C31BDB"/>
    <w:rsid w:val="00C31DED"/>
    <w:rsid w:val="00C32823"/>
    <w:rsid w:val="00C33CBD"/>
    <w:rsid w:val="00C34925"/>
    <w:rsid w:val="00C34A1B"/>
    <w:rsid w:val="00C370AB"/>
    <w:rsid w:val="00C375D7"/>
    <w:rsid w:val="00C40790"/>
    <w:rsid w:val="00C42036"/>
    <w:rsid w:val="00C422C7"/>
    <w:rsid w:val="00C440B3"/>
    <w:rsid w:val="00C440FC"/>
    <w:rsid w:val="00C45E88"/>
    <w:rsid w:val="00C47E18"/>
    <w:rsid w:val="00C502CC"/>
    <w:rsid w:val="00C536EA"/>
    <w:rsid w:val="00C53D78"/>
    <w:rsid w:val="00C54D3D"/>
    <w:rsid w:val="00C567EC"/>
    <w:rsid w:val="00C56D95"/>
    <w:rsid w:val="00C6114B"/>
    <w:rsid w:val="00C627DD"/>
    <w:rsid w:val="00C6496F"/>
    <w:rsid w:val="00C65766"/>
    <w:rsid w:val="00C6699B"/>
    <w:rsid w:val="00C67614"/>
    <w:rsid w:val="00C70123"/>
    <w:rsid w:val="00C70149"/>
    <w:rsid w:val="00C707E0"/>
    <w:rsid w:val="00C70978"/>
    <w:rsid w:val="00C723D1"/>
    <w:rsid w:val="00C72709"/>
    <w:rsid w:val="00C747D7"/>
    <w:rsid w:val="00C77125"/>
    <w:rsid w:val="00C77715"/>
    <w:rsid w:val="00C8256C"/>
    <w:rsid w:val="00C82D62"/>
    <w:rsid w:val="00C86398"/>
    <w:rsid w:val="00C87192"/>
    <w:rsid w:val="00C91FB9"/>
    <w:rsid w:val="00C92926"/>
    <w:rsid w:val="00C93659"/>
    <w:rsid w:val="00C9389B"/>
    <w:rsid w:val="00C958E5"/>
    <w:rsid w:val="00C95EE0"/>
    <w:rsid w:val="00CA04F2"/>
    <w:rsid w:val="00CA06C6"/>
    <w:rsid w:val="00CA1003"/>
    <w:rsid w:val="00CA22EF"/>
    <w:rsid w:val="00CA24C1"/>
    <w:rsid w:val="00CA3D27"/>
    <w:rsid w:val="00CA61E4"/>
    <w:rsid w:val="00CB0BA5"/>
    <w:rsid w:val="00CB0DCB"/>
    <w:rsid w:val="00CB3D03"/>
    <w:rsid w:val="00CB426B"/>
    <w:rsid w:val="00CB442B"/>
    <w:rsid w:val="00CB7C25"/>
    <w:rsid w:val="00CC0FF1"/>
    <w:rsid w:val="00CC2094"/>
    <w:rsid w:val="00CC25B3"/>
    <w:rsid w:val="00CC4D84"/>
    <w:rsid w:val="00CC5B4D"/>
    <w:rsid w:val="00CC6D5E"/>
    <w:rsid w:val="00CD3D98"/>
    <w:rsid w:val="00CD3F85"/>
    <w:rsid w:val="00CE0563"/>
    <w:rsid w:val="00CE2231"/>
    <w:rsid w:val="00CE241B"/>
    <w:rsid w:val="00CE3B21"/>
    <w:rsid w:val="00CE571D"/>
    <w:rsid w:val="00CF022E"/>
    <w:rsid w:val="00CF03D0"/>
    <w:rsid w:val="00CF06FF"/>
    <w:rsid w:val="00CF1360"/>
    <w:rsid w:val="00CF166B"/>
    <w:rsid w:val="00CF3A89"/>
    <w:rsid w:val="00CF3D13"/>
    <w:rsid w:val="00CF4FF0"/>
    <w:rsid w:val="00D00FB4"/>
    <w:rsid w:val="00D029E0"/>
    <w:rsid w:val="00D03064"/>
    <w:rsid w:val="00D074AB"/>
    <w:rsid w:val="00D112AC"/>
    <w:rsid w:val="00D144BF"/>
    <w:rsid w:val="00D17872"/>
    <w:rsid w:val="00D21B21"/>
    <w:rsid w:val="00D21F21"/>
    <w:rsid w:val="00D2472D"/>
    <w:rsid w:val="00D25E1A"/>
    <w:rsid w:val="00D2630C"/>
    <w:rsid w:val="00D2687B"/>
    <w:rsid w:val="00D308CA"/>
    <w:rsid w:val="00D31ABA"/>
    <w:rsid w:val="00D32B2A"/>
    <w:rsid w:val="00D35E39"/>
    <w:rsid w:val="00D3689C"/>
    <w:rsid w:val="00D37561"/>
    <w:rsid w:val="00D4250D"/>
    <w:rsid w:val="00D4270E"/>
    <w:rsid w:val="00D42A2A"/>
    <w:rsid w:val="00D42F2E"/>
    <w:rsid w:val="00D45525"/>
    <w:rsid w:val="00D47D32"/>
    <w:rsid w:val="00D47DFE"/>
    <w:rsid w:val="00D501FF"/>
    <w:rsid w:val="00D5034D"/>
    <w:rsid w:val="00D51842"/>
    <w:rsid w:val="00D518D5"/>
    <w:rsid w:val="00D51D2E"/>
    <w:rsid w:val="00D51EF8"/>
    <w:rsid w:val="00D57850"/>
    <w:rsid w:val="00D6025B"/>
    <w:rsid w:val="00D61400"/>
    <w:rsid w:val="00D6194B"/>
    <w:rsid w:val="00D63247"/>
    <w:rsid w:val="00D63922"/>
    <w:rsid w:val="00D646BE"/>
    <w:rsid w:val="00D65EEA"/>
    <w:rsid w:val="00D667EC"/>
    <w:rsid w:val="00D7050F"/>
    <w:rsid w:val="00D712A2"/>
    <w:rsid w:val="00D71396"/>
    <w:rsid w:val="00D72529"/>
    <w:rsid w:val="00D726A1"/>
    <w:rsid w:val="00D73D08"/>
    <w:rsid w:val="00D73F1E"/>
    <w:rsid w:val="00D74D33"/>
    <w:rsid w:val="00D75CFB"/>
    <w:rsid w:val="00D75E46"/>
    <w:rsid w:val="00D75ED4"/>
    <w:rsid w:val="00D76A18"/>
    <w:rsid w:val="00D82623"/>
    <w:rsid w:val="00D84CE4"/>
    <w:rsid w:val="00D8673D"/>
    <w:rsid w:val="00D87241"/>
    <w:rsid w:val="00D9176E"/>
    <w:rsid w:val="00D9530A"/>
    <w:rsid w:val="00D974D2"/>
    <w:rsid w:val="00DA085D"/>
    <w:rsid w:val="00DA1854"/>
    <w:rsid w:val="00DA3B1E"/>
    <w:rsid w:val="00DA55CB"/>
    <w:rsid w:val="00DA5B82"/>
    <w:rsid w:val="00DA5E1B"/>
    <w:rsid w:val="00DA63FA"/>
    <w:rsid w:val="00DA6A82"/>
    <w:rsid w:val="00DA7F95"/>
    <w:rsid w:val="00DB0A1A"/>
    <w:rsid w:val="00DB249D"/>
    <w:rsid w:val="00DB36F4"/>
    <w:rsid w:val="00DB5F16"/>
    <w:rsid w:val="00DB648C"/>
    <w:rsid w:val="00DB66B4"/>
    <w:rsid w:val="00DC139F"/>
    <w:rsid w:val="00DC41EF"/>
    <w:rsid w:val="00DC4A43"/>
    <w:rsid w:val="00DC57A0"/>
    <w:rsid w:val="00DC5CF0"/>
    <w:rsid w:val="00DD08EB"/>
    <w:rsid w:val="00DD1EF5"/>
    <w:rsid w:val="00DD1FD8"/>
    <w:rsid w:val="00DD2A23"/>
    <w:rsid w:val="00DD55B6"/>
    <w:rsid w:val="00DD5DB7"/>
    <w:rsid w:val="00DD619D"/>
    <w:rsid w:val="00DD687F"/>
    <w:rsid w:val="00DD7E95"/>
    <w:rsid w:val="00DE0A9C"/>
    <w:rsid w:val="00DE0FEE"/>
    <w:rsid w:val="00DE307B"/>
    <w:rsid w:val="00DE3218"/>
    <w:rsid w:val="00DE5E6B"/>
    <w:rsid w:val="00DE7C61"/>
    <w:rsid w:val="00DF015B"/>
    <w:rsid w:val="00DF3678"/>
    <w:rsid w:val="00DF37C3"/>
    <w:rsid w:val="00DF52E2"/>
    <w:rsid w:val="00DF6274"/>
    <w:rsid w:val="00DF781C"/>
    <w:rsid w:val="00E026B9"/>
    <w:rsid w:val="00E027D3"/>
    <w:rsid w:val="00E07F1C"/>
    <w:rsid w:val="00E15396"/>
    <w:rsid w:val="00E23667"/>
    <w:rsid w:val="00E23FB0"/>
    <w:rsid w:val="00E24AA8"/>
    <w:rsid w:val="00E263D2"/>
    <w:rsid w:val="00E2792A"/>
    <w:rsid w:val="00E3072E"/>
    <w:rsid w:val="00E30E86"/>
    <w:rsid w:val="00E327B3"/>
    <w:rsid w:val="00E33471"/>
    <w:rsid w:val="00E344D8"/>
    <w:rsid w:val="00E34E64"/>
    <w:rsid w:val="00E35B32"/>
    <w:rsid w:val="00E36F1F"/>
    <w:rsid w:val="00E3724F"/>
    <w:rsid w:val="00E40E3E"/>
    <w:rsid w:val="00E4177B"/>
    <w:rsid w:val="00E42250"/>
    <w:rsid w:val="00E43B29"/>
    <w:rsid w:val="00E44FB3"/>
    <w:rsid w:val="00E47670"/>
    <w:rsid w:val="00E47959"/>
    <w:rsid w:val="00E526E9"/>
    <w:rsid w:val="00E52702"/>
    <w:rsid w:val="00E55076"/>
    <w:rsid w:val="00E5769B"/>
    <w:rsid w:val="00E61D4D"/>
    <w:rsid w:val="00E61FFD"/>
    <w:rsid w:val="00E6664C"/>
    <w:rsid w:val="00E671AA"/>
    <w:rsid w:val="00E71A6A"/>
    <w:rsid w:val="00E71C83"/>
    <w:rsid w:val="00E71DDC"/>
    <w:rsid w:val="00E758DC"/>
    <w:rsid w:val="00E76086"/>
    <w:rsid w:val="00E762A0"/>
    <w:rsid w:val="00E76D13"/>
    <w:rsid w:val="00E811DF"/>
    <w:rsid w:val="00E8133C"/>
    <w:rsid w:val="00E834EC"/>
    <w:rsid w:val="00E83829"/>
    <w:rsid w:val="00E84B68"/>
    <w:rsid w:val="00E85386"/>
    <w:rsid w:val="00E86A2D"/>
    <w:rsid w:val="00E86D4C"/>
    <w:rsid w:val="00E873C9"/>
    <w:rsid w:val="00E877EE"/>
    <w:rsid w:val="00E9221E"/>
    <w:rsid w:val="00E953DD"/>
    <w:rsid w:val="00E96C48"/>
    <w:rsid w:val="00E972F7"/>
    <w:rsid w:val="00EA0D50"/>
    <w:rsid w:val="00EA55F0"/>
    <w:rsid w:val="00EA7B3D"/>
    <w:rsid w:val="00EB5073"/>
    <w:rsid w:val="00EB6258"/>
    <w:rsid w:val="00EB6892"/>
    <w:rsid w:val="00EB781B"/>
    <w:rsid w:val="00EC1660"/>
    <w:rsid w:val="00EC2A34"/>
    <w:rsid w:val="00EC4403"/>
    <w:rsid w:val="00EC7657"/>
    <w:rsid w:val="00ED13D6"/>
    <w:rsid w:val="00ED177B"/>
    <w:rsid w:val="00ED1DE9"/>
    <w:rsid w:val="00ED27FE"/>
    <w:rsid w:val="00ED3225"/>
    <w:rsid w:val="00ED6EC9"/>
    <w:rsid w:val="00EE2292"/>
    <w:rsid w:val="00EE405C"/>
    <w:rsid w:val="00EE531D"/>
    <w:rsid w:val="00EE66FA"/>
    <w:rsid w:val="00EE7741"/>
    <w:rsid w:val="00EF2216"/>
    <w:rsid w:val="00EF2818"/>
    <w:rsid w:val="00EF2CE8"/>
    <w:rsid w:val="00EF4C12"/>
    <w:rsid w:val="00EF7839"/>
    <w:rsid w:val="00F02CFB"/>
    <w:rsid w:val="00F06BB2"/>
    <w:rsid w:val="00F10349"/>
    <w:rsid w:val="00F12421"/>
    <w:rsid w:val="00F124BC"/>
    <w:rsid w:val="00F137B7"/>
    <w:rsid w:val="00F13FBA"/>
    <w:rsid w:val="00F14A2E"/>
    <w:rsid w:val="00F1517F"/>
    <w:rsid w:val="00F21A28"/>
    <w:rsid w:val="00F22C03"/>
    <w:rsid w:val="00F23117"/>
    <w:rsid w:val="00F2345E"/>
    <w:rsid w:val="00F23854"/>
    <w:rsid w:val="00F2506D"/>
    <w:rsid w:val="00F25292"/>
    <w:rsid w:val="00F26E9F"/>
    <w:rsid w:val="00F335C3"/>
    <w:rsid w:val="00F3429A"/>
    <w:rsid w:val="00F35B54"/>
    <w:rsid w:val="00F3634B"/>
    <w:rsid w:val="00F37037"/>
    <w:rsid w:val="00F4028C"/>
    <w:rsid w:val="00F40D25"/>
    <w:rsid w:val="00F42F5D"/>
    <w:rsid w:val="00F441DD"/>
    <w:rsid w:val="00F47227"/>
    <w:rsid w:val="00F47F65"/>
    <w:rsid w:val="00F51A59"/>
    <w:rsid w:val="00F530B4"/>
    <w:rsid w:val="00F53319"/>
    <w:rsid w:val="00F57A75"/>
    <w:rsid w:val="00F6070E"/>
    <w:rsid w:val="00F61D7E"/>
    <w:rsid w:val="00F6300A"/>
    <w:rsid w:val="00F63B3F"/>
    <w:rsid w:val="00F6596B"/>
    <w:rsid w:val="00F70249"/>
    <w:rsid w:val="00F719C7"/>
    <w:rsid w:val="00F772D6"/>
    <w:rsid w:val="00F80D8F"/>
    <w:rsid w:val="00F82FF9"/>
    <w:rsid w:val="00F83D66"/>
    <w:rsid w:val="00F86251"/>
    <w:rsid w:val="00F927E2"/>
    <w:rsid w:val="00F94B30"/>
    <w:rsid w:val="00F966E3"/>
    <w:rsid w:val="00F96764"/>
    <w:rsid w:val="00F96F6F"/>
    <w:rsid w:val="00F97B64"/>
    <w:rsid w:val="00FA0771"/>
    <w:rsid w:val="00FA0EDA"/>
    <w:rsid w:val="00FA2B75"/>
    <w:rsid w:val="00FA35F4"/>
    <w:rsid w:val="00FA42BB"/>
    <w:rsid w:val="00FA5220"/>
    <w:rsid w:val="00FB0A48"/>
    <w:rsid w:val="00FB39F0"/>
    <w:rsid w:val="00FB3E7E"/>
    <w:rsid w:val="00FB609A"/>
    <w:rsid w:val="00FB616F"/>
    <w:rsid w:val="00FB6E06"/>
    <w:rsid w:val="00FC3147"/>
    <w:rsid w:val="00FC33FB"/>
    <w:rsid w:val="00FC59CC"/>
    <w:rsid w:val="00FC7B1E"/>
    <w:rsid w:val="00FD0F3D"/>
    <w:rsid w:val="00FD0FFF"/>
    <w:rsid w:val="00FD25E7"/>
    <w:rsid w:val="00FD2A5B"/>
    <w:rsid w:val="00FD355B"/>
    <w:rsid w:val="00FD3BE7"/>
    <w:rsid w:val="00FD3EBD"/>
    <w:rsid w:val="00FD477B"/>
    <w:rsid w:val="00FD5F33"/>
    <w:rsid w:val="00FD7859"/>
    <w:rsid w:val="00FE03A2"/>
    <w:rsid w:val="00FE6E71"/>
    <w:rsid w:val="00FE77A6"/>
    <w:rsid w:val="00FF0680"/>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1E2624"/>
    <w:pPr>
      <w:keepNext/>
      <w:keepLines/>
      <w:numPr>
        <w:numId w:val="2"/>
      </w:numPr>
      <w:suppressAutoHyphens/>
      <w:spacing w:before="220"/>
      <w:jc w:val="left"/>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1E2624"/>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paragraph" w:styleId="HTMLPreformatted">
    <w:name w:val="HTML Preformatted"/>
    <w:basedOn w:val="Normal"/>
    <w:link w:val="HTMLPreformattedChar"/>
    <w:uiPriority w:val="99"/>
    <w:semiHidden/>
    <w:unhideWhenUsed/>
    <w:rsid w:val="004B33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33A3"/>
    <w:rPr>
      <w:rFonts w:ascii="Consolas" w:eastAsia="Times New Roman" w:hAnsi="Consolas" w:cs="Times New Roman"/>
      <w:spacing w:val="2"/>
      <w:kern w:val="16"/>
      <w:sz w:val="20"/>
      <w:szCs w:val="20"/>
      <w14:ligatures w14:val="standardContextual"/>
      <w14:numForm w14:val="oldStyle"/>
      <w14:numSpacing w14:val="proportional"/>
    </w:rPr>
  </w:style>
  <w:style w:type="paragraph" w:customStyle="1" w:styleId="ds-markdown-paragraph">
    <w:name w:val="ds-markdown-paragraph"/>
    <w:basedOn w:val="Normal"/>
    <w:rsid w:val="00642705"/>
    <w:pPr>
      <w:spacing w:before="100" w:beforeAutospacing="1" w:after="100" w:afterAutospacing="1" w:line="240" w:lineRule="auto"/>
      <w:jc w:val="left"/>
    </w:pPr>
    <w:rPr>
      <w:rFonts w:ascii="Times New Roman" w:hAnsi="Times New Roman"/>
      <w:spacing w:val="0"/>
      <w:kern w:val="0"/>
      <w:sz w:val="24"/>
      <w:szCs w:val="24"/>
      <w14:ligatures w14:val="none"/>
      <w14:numForm w14:val="default"/>
      <w14:numSpacing w14:val="default"/>
    </w:rPr>
  </w:style>
  <w:style w:type="character" w:styleId="Strong">
    <w:name w:val="Strong"/>
    <w:basedOn w:val="DefaultParagraphFont"/>
    <w:uiPriority w:val="22"/>
    <w:qFormat/>
    <w:rsid w:val="005A199A"/>
    <w:rPr>
      <w:b/>
      <w:bCs/>
    </w:rPr>
  </w:style>
  <w:style w:type="character" w:styleId="FollowedHyperlink">
    <w:name w:val="FollowedHyperlink"/>
    <w:basedOn w:val="DefaultParagraphFont"/>
    <w:uiPriority w:val="99"/>
    <w:semiHidden/>
    <w:unhideWhenUsed/>
    <w:rsid w:val="00247A77"/>
    <w:rPr>
      <w:color w:val="954F72" w:themeColor="followedHyperlink"/>
      <w:u w:val="single"/>
    </w:rPr>
  </w:style>
  <w:style w:type="character" w:styleId="PlaceholderText">
    <w:name w:val="Placeholder Text"/>
    <w:basedOn w:val="DefaultParagraphFont"/>
    <w:uiPriority w:val="99"/>
    <w:semiHidden/>
    <w:rsid w:val="00E263D2"/>
    <w:rPr>
      <w:color w:val="666666"/>
    </w:rPr>
  </w:style>
  <w:style w:type="character" w:customStyle="1" w:styleId="katex-mathml">
    <w:name w:val="katex-mathml"/>
    <w:basedOn w:val="DefaultParagraphFont"/>
    <w:rsid w:val="0089662A"/>
  </w:style>
  <w:style w:type="character" w:customStyle="1" w:styleId="mord">
    <w:name w:val="mord"/>
    <w:basedOn w:val="DefaultParagraphFont"/>
    <w:rsid w:val="0089662A"/>
  </w:style>
  <w:style w:type="character" w:customStyle="1" w:styleId="mbin">
    <w:name w:val="mbin"/>
    <w:basedOn w:val="DefaultParagraphFont"/>
    <w:rsid w:val="0089662A"/>
  </w:style>
  <w:style w:type="character" w:customStyle="1" w:styleId="vlist-s">
    <w:name w:val="vlist-s"/>
    <w:basedOn w:val="DefaultParagraphFont"/>
    <w:rsid w:val="008966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195">
      <w:bodyDiv w:val="1"/>
      <w:marLeft w:val="0"/>
      <w:marRight w:val="0"/>
      <w:marTop w:val="0"/>
      <w:marBottom w:val="0"/>
      <w:divBdr>
        <w:top w:val="none" w:sz="0" w:space="0" w:color="auto"/>
        <w:left w:val="none" w:sz="0" w:space="0" w:color="auto"/>
        <w:bottom w:val="none" w:sz="0" w:space="0" w:color="auto"/>
        <w:right w:val="none" w:sz="0" w:space="0" w:color="auto"/>
      </w:divBdr>
    </w:div>
    <w:div w:id="16583432">
      <w:bodyDiv w:val="1"/>
      <w:marLeft w:val="0"/>
      <w:marRight w:val="0"/>
      <w:marTop w:val="0"/>
      <w:marBottom w:val="0"/>
      <w:divBdr>
        <w:top w:val="none" w:sz="0" w:space="0" w:color="auto"/>
        <w:left w:val="none" w:sz="0" w:space="0" w:color="auto"/>
        <w:bottom w:val="none" w:sz="0" w:space="0" w:color="auto"/>
        <w:right w:val="none" w:sz="0" w:space="0" w:color="auto"/>
      </w:divBdr>
    </w:div>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49812682">
      <w:bodyDiv w:val="1"/>
      <w:marLeft w:val="0"/>
      <w:marRight w:val="0"/>
      <w:marTop w:val="0"/>
      <w:marBottom w:val="0"/>
      <w:divBdr>
        <w:top w:val="none" w:sz="0" w:space="0" w:color="auto"/>
        <w:left w:val="none" w:sz="0" w:space="0" w:color="auto"/>
        <w:bottom w:val="none" w:sz="0" w:space="0" w:color="auto"/>
        <w:right w:val="none" w:sz="0" w:space="0" w:color="auto"/>
      </w:divBdr>
    </w:div>
    <w:div w:id="70465206">
      <w:bodyDiv w:val="1"/>
      <w:marLeft w:val="0"/>
      <w:marRight w:val="0"/>
      <w:marTop w:val="0"/>
      <w:marBottom w:val="0"/>
      <w:divBdr>
        <w:top w:val="none" w:sz="0" w:space="0" w:color="auto"/>
        <w:left w:val="none" w:sz="0" w:space="0" w:color="auto"/>
        <w:bottom w:val="none" w:sz="0" w:space="0" w:color="auto"/>
        <w:right w:val="none" w:sz="0" w:space="0" w:color="auto"/>
      </w:divBdr>
    </w:div>
    <w:div w:id="89552319">
      <w:bodyDiv w:val="1"/>
      <w:marLeft w:val="0"/>
      <w:marRight w:val="0"/>
      <w:marTop w:val="0"/>
      <w:marBottom w:val="0"/>
      <w:divBdr>
        <w:top w:val="none" w:sz="0" w:space="0" w:color="auto"/>
        <w:left w:val="none" w:sz="0" w:space="0" w:color="auto"/>
        <w:bottom w:val="none" w:sz="0" w:space="0" w:color="auto"/>
        <w:right w:val="none" w:sz="0" w:space="0" w:color="auto"/>
      </w:divBdr>
    </w:div>
    <w:div w:id="100339008">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6389348">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67597324">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1091498">
      <w:bodyDiv w:val="1"/>
      <w:marLeft w:val="0"/>
      <w:marRight w:val="0"/>
      <w:marTop w:val="0"/>
      <w:marBottom w:val="0"/>
      <w:divBdr>
        <w:top w:val="none" w:sz="0" w:space="0" w:color="auto"/>
        <w:left w:val="none" w:sz="0" w:space="0" w:color="auto"/>
        <w:bottom w:val="none" w:sz="0" w:space="0" w:color="auto"/>
        <w:right w:val="none" w:sz="0" w:space="0" w:color="auto"/>
      </w:divBdr>
    </w:div>
    <w:div w:id="202789994">
      <w:bodyDiv w:val="1"/>
      <w:marLeft w:val="0"/>
      <w:marRight w:val="0"/>
      <w:marTop w:val="0"/>
      <w:marBottom w:val="0"/>
      <w:divBdr>
        <w:top w:val="none" w:sz="0" w:space="0" w:color="auto"/>
        <w:left w:val="none" w:sz="0" w:space="0" w:color="auto"/>
        <w:bottom w:val="none" w:sz="0" w:space="0" w:color="auto"/>
        <w:right w:val="none" w:sz="0" w:space="0" w:color="auto"/>
      </w:divBdr>
    </w:div>
    <w:div w:id="204565369">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06068157">
      <w:bodyDiv w:val="1"/>
      <w:marLeft w:val="0"/>
      <w:marRight w:val="0"/>
      <w:marTop w:val="0"/>
      <w:marBottom w:val="0"/>
      <w:divBdr>
        <w:top w:val="none" w:sz="0" w:space="0" w:color="auto"/>
        <w:left w:val="none" w:sz="0" w:space="0" w:color="auto"/>
        <w:bottom w:val="none" w:sz="0" w:space="0" w:color="auto"/>
        <w:right w:val="none" w:sz="0" w:space="0" w:color="auto"/>
      </w:divBdr>
    </w:div>
    <w:div w:id="234629484">
      <w:bodyDiv w:val="1"/>
      <w:marLeft w:val="0"/>
      <w:marRight w:val="0"/>
      <w:marTop w:val="0"/>
      <w:marBottom w:val="0"/>
      <w:divBdr>
        <w:top w:val="none" w:sz="0" w:space="0" w:color="auto"/>
        <w:left w:val="none" w:sz="0" w:space="0" w:color="auto"/>
        <w:bottom w:val="none" w:sz="0" w:space="0" w:color="auto"/>
        <w:right w:val="none" w:sz="0" w:space="0" w:color="auto"/>
      </w:divBdr>
    </w:div>
    <w:div w:id="241259186">
      <w:bodyDiv w:val="1"/>
      <w:marLeft w:val="0"/>
      <w:marRight w:val="0"/>
      <w:marTop w:val="0"/>
      <w:marBottom w:val="0"/>
      <w:divBdr>
        <w:top w:val="none" w:sz="0" w:space="0" w:color="auto"/>
        <w:left w:val="none" w:sz="0" w:space="0" w:color="auto"/>
        <w:bottom w:val="none" w:sz="0" w:space="0" w:color="auto"/>
        <w:right w:val="none" w:sz="0" w:space="0" w:color="auto"/>
      </w:divBdr>
    </w:div>
    <w:div w:id="243271687">
      <w:bodyDiv w:val="1"/>
      <w:marLeft w:val="0"/>
      <w:marRight w:val="0"/>
      <w:marTop w:val="0"/>
      <w:marBottom w:val="0"/>
      <w:divBdr>
        <w:top w:val="none" w:sz="0" w:space="0" w:color="auto"/>
        <w:left w:val="none" w:sz="0" w:space="0" w:color="auto"/>
        <w:bottom w:val="none" w:sz="0" w:space="0" w:color="auto"/>
        <w:right w:val="none" w:sz="0" w:space="0" w:color="auto"/>
      </w:divBdr>
    </w:div>
    <w:div w:id="260531530">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167310">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45695">
      <w:bodyDiv w:val="1"/>
      <w:marLeft w:val="0"/>
      <w:marRight w:val="0"/>
      <w:marTop w:val="0"/>
      <w:marBottom w:val="0"/>
      <w:divBdr>
        <w:top w:val="none" w:sz="0" w:space="0" w:color="auto"/>
        <w:left w:val="none" w:sz="0" w:space="0" w:color="auto"/>
        <w:bottom w:val="none" w:sz="0" w:space="0" w:color="auto"/>
        <w:right w:val="none" w:sz="0" w:space="0" w:color="auto"/>
      </w:divBdr>
    </w:div>
    <w:div w:id="435947410">
      <w:bodyDiv w:val="1"/>
      <w:marLeft w:val="0"/>
      <w:marRight w:val="0"/>
      <w:marTop w:val="0"/>
      <w:marBottom w:val="0"/>
      <w:divBdr>
        <w:top w:val="none" w:sz="0" w:space="0" w:color="auto"/>
        <w:left w:val="none" w:sz="0" w:space="0" w:color="auto"/>
        <w:bottom w:val="none" w:sz="0" w:space="0" w:color="auto"/>
        <w:right w:val="none" w:sz="0" w:space="0" w:color="auto"/>
      </w:divBdr>
    </w:div>
    <w:div w:id="437720977">
      <w:bodyDiv w:val="1"/>
      <w:marLeft w:val="0"/>
      <w:marRight w:val="0"/>
      <w:marTop w:val="0"/>
      <w:marBottom w:val="0"/>
      <w:divBdr>
        <w:top w:val="none" w:sz="0" w:space="0" w:color="auto"/>
        <w:left w:val="none" w:sz="0" w:space="0" w:color="auto"/>
        <w:bottom w:val="none" w:sz="0" w:space="0" w:color="auto"/>
        <w:right w:val="none" w:sz="0" w:space="0" w:color="auto"/>
      </w:divBdr>
    </w:div>
    <w:div w:id="472332317">
      <w:bodyDiv w:val="1"/>
      <w:marLeft w:val="0"/>
      <w:marRight w:val="0"/>
      <w:marTop w:val="0"/>
      <w:marBottom w:val="0"/>
      <w:divBdr>
        <w:top w:val="none" w:sz="0" w:space="0" w:color="auto"/>
        <w:left w:val="none" w:sz="0" w:space="0" w:color="auto"/>
        <w:bottom w:val="none" w:sz="0" w:space="0" w:color="auto"/>
        <w:right w:val="none" w:sz="0" w:space="0" w:color="auto"/>
      </w:divBdr>
    </w:div>
    <w:div w:id="477504336">
      <w:bodyDiv w:val="1"/>
      <w:marLeft w:val="0"/>
      <w:marRight w:val="0"/>
      <w:marTop w:val="0"/>
      <w:marBottom w:val="0"/>
      <w:divBdr>
        <w:top w:val="none" w:sz="0" w:space="0" w:color="auto"/>
        <w:left w:val="none" w:sz="0" w:space="0" w:color="auto"/>
        <w:bottom w:val="none" w:sz="0" w:space="0" w:color="auto"/>
        <w:right w:val="none" w:sz="0" w:space="0" w:color="auto"/>
      </w:divBdr>
    </w:div>
    <w:div w:id="492575277">
      <w:bodyDiv w:val="1"/>
      <w:marLeft w:val="0"/>
      <w:marRight w:val="0"/>
      <w:marTop w:val="0"/>
      <w:marBottom w:val="0"/>
      <w:divBdr>
        <w:top w:val="none" w:sz="0" w:space="0" w:color="auto"/>
        <w:left w:val="none" w:sz="0" w:space="0" w:color="auto"/>
        <w:bottom w:val="none" w:sz="0" w:space="0" w:color="auto"/>
        <w:right w:val="none" w:sz="0" w:space="0" w:color="auto"/>
      </w:divBdr>
    </w:div>
    <w:div w:id="498692015">
      <w:bodyDiv w:val="1"/>
      <w:marLeft w:val="0"/>
      <w:marRight w:val="0"/>
      <w:marTop w:val="0"/>
      <w:marBottom w:val="0"/>
      <w:divBdr>
        <w:top w:val="none" w:sz="0" w:space="0" w:color="auto"/>
        <w:left w:val="none" w:sz="0" w:space="0" w:color="auto"/>
        <w:bottom w:val="none" w:sz="0" w:space="0" w:color="auto"/>
        <w:right w:val="none" w:sz="0" w:space="0" w:color="auto"/>
      </w:divBdr>
    </w:div>
    <w:div w:id="533079084">
      <w:bodyDiv w:val="1"/>
      <w:marLeft w:val="0"/>
      <w:marRight w:val="0"/>
      <w:marTop w:val="0"/>
      <w:marBottom w:val="0"/>
      <w:divBdr>
        <w:top w:val="none" w:sz="0" w:space="0" w:color="auto"/>
        <w:left w:val="none" w:sz="0" w:space="0" w:color="auto"/>
        <w:bottom w:val="none" w:sz="0" w:space="0" w:color="auto"/>
        <w:right w:val="none" w:sz="0" w:space="0" w:color="auto"/>
      </w:divBdr>
    </w:div>
    <w:div w:id="585501343">
      <w:bodyDiv w:val="1"/>
      <w:marLeft w:val="0"/>
      <w:marRight w:val="0"/>
      <w:marTop w:val="0"/>
      <w:marBottom w:val="0"/>
      <w:divBdr>
        <w:top w:val="none" w:sz="0" w:space="0" w:color="auto"/>
        <w:left w:val="none" w:sz="0" w:space="0" w:color="auto"/>
        <w:bottom w:val="none" w:sz="0" w:space="0" w:color="auto"/>
        <w:right w:val="none" w:sz="0" w:space="0" w:color="auto"/>
      </w:divBdr>
    </w:div>
    <w:div w:id="585966517">
      <w:bodyDiv w:val="1"/>
      <w:marLeft w:val="0"/>
      <w:marRight w:val="0"/>
      <w:marTop w:val="0"/>
      <w:marBottom w:val="0"/>
      <w:divBdr>
        <w:top w:val="none" w:sz="0" w:space="0" w:color="auto"/>
        <w:left w:val="none" w:sz="0" w:space="0" w:color="auto"/>
        <w:bottom w:val="none" w:sz="0" w:space="0" w:color="auto"/>
        <w:right w:val="none" w:sz="0" w:space="0" w:color="auto"/>
      </w:divBdr>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6327108">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58232">
      <w:bodyDiv w:val="1"/>
      <w:marLeft w:val="0"/>
      <w:marRight w:val="0"/>
      <w:marTop w:val="0"/>
      <w:marBottom w:val="0"/>
      <w:divBdr>
        <w:top w:val="none" w:sz="0" w:space="0" w:color="auto"/>
        <w:left w:val="none" w:sz="0" w:space="0" w:color="auto"/>
        <w:bottom w:val="none" w:sz="0" w:space="0" w:color="auto"/>
        <w:right w:val="none" w:sz="0" w:space="0" w:color="auto"/>
      </w:divBdr>
      <w:divsChild>
        <w:div w:id="1552500082">
          <w:marLeft w:val="0"/>
          <w:marRight w:val="0"/>
          <w:marTop w:val="0"/>
          <w:marBottom w:val="0"/>
          <w:divBdr>
            <w:top w:val="none" w:sz="0" w:space="0" w:color="auto"/>
            <w:left w:val="none" w:sz="0" w:space="0" w:color="auto"/>
            <w:bottom w:val="none" w:sz="0" w:space="0" w:color="auto"/>
            <w:right w:val="none" w:sz="0" w:space="0" w:color="auto"/>
          </w:divBdr>
          <w:divsChild>
            <w:div w:id="16970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32894681">
      <w:bodyDiv w:val="1"/>
      <w:marLeft w:val="0"/>
      <w:marRight w:val="0"/>
      <w:marTop w:val="0"/>
      <w:marBottom w:val="0"/>
      <w:divBdr>
        <w:top w:val="none" w:sz="0" w:space="0" w:color="auto"/>
        <w:left w:val="none" w:sz="0" w:space="0" w:color="auto"/>
        <w:bottom w:val="none" w:sz="0" w:space="0" w:color="auto"/>
        <w:right w:val="none" w:sz="0" w:space="0" w:color="auto"/>
      </w:divBdr>
    </w:div>
    <w:div w:id="738206993">
      <w:bodyDiv w:val="1"/>
      <w:marLeft w:val="0"/>
      <w:marRight w:val="0"/>
      <w:marTop w:val="0"/>
      <w:marBottom w:val="0"/>
      <w:divBdr>
        <w:top w:val="none" w:sz="0" w:space="0" w:color="auto"/>
        <w:left w:val="none" w:sz="0" w:space="0" w:color="auto"/>
        <w:bottom w:val="none" w:sz="0" w:space="0" w:color="auto"/>
        <w:right w:val="none" w:sz="0" w:space="0" w:color="auto"/>
      </w:divBdr>
      <w:divsChild>
        <w:div w:id="969558987">
          <w:marLeft w:val="0"/>
          <w:marRight w:val="0"/>
          <w:marTop w:val="0"/>
          <w:marBottom w:val="0"/>
          <w:divBdr>
            <w:top w:val="none" w:sz="0" w:space="0" w:color="auto"/>
            <w:left w:val="none" w:sz="0" w:space="0" w:color="auto"/>
            <w:bottom w:val="none" w:sz="0" w:space="0" w:color="auto"/>
            <w:right w:val="none" w:sz="0" w:space="0" w:color="auto"/>
          </w:divBdr>
          <w:divsChild>
            <w:div w:id="186956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0348">
      <w:bodyDiv w:val="1"/>
      <w:marLeft w:val="0"/>
      <w:marRight w:val="0"/>
      <w:marTop w:val="0"/>
      <w:marBottom w:val="0"/>
      <w:divBdr>
        <w:top w:val="none" w:sz="0" w:space="0" w:color="auto"/>
        <w:left w:val="none" w:sz="0" w:space="0" w:color="auto"/>
        <w:bottom w:val="none" w:sz="0" w:space="0" w:color="auto"/>
        <w:right w:val="none" w:sz="0" w:space="0" w:color="auto"/>
      </w:divBdr>
    </w:div>
    <w:div w:id="745032658">
      <w:bodyDiv w:val="1"/>
      <w:marLeft w:val="0"/>
      <w:marRight w:val="0"/>
      <w:marTop w:val="0"/>
      <w:marBottom w:val="0"/>
      <w:divBdr>
        <w:top w:val="none" w:sz="0" w:space="0" w:color="auto"/>
        <w:left w:val="none" w:sz="0" w:space="0" w:color="auto"/>
        <w:bottom w:val="none" w:sz="0" w:space="0" w:color="auto"/>
        <w:right w:val="none" w:sz="0" w:space="0" w:color="auto"/>
      </w:divBdr>
    </w:div>
    <w:div w:id="777141616">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797068106">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6240773">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23164907">
      <w:bodyDiv w:val="1"/>
      <w:marLeft w:val="0"/>
      <w:marRight w:val="0"/>
      <w:marTop w:val="0"/>
      <w:marBottom w:val="0"/>
      <w:divBdr>
        <w:top w:val="none" w:sz="0" w:space="0" w:color="auto"/>
        <w:left w:val="none" w:sz="0" w:space="0" w:color="auto"/>
        <w:bottom w:val="none" w:sz="0" w:space="0" w:color="auto"/>
        <w:right w:val="none" w:sz="0" w:space="0" w:color="auto"/>
      </w:divBdr>
    </w:div>
    <w:div w:id="847060931">
      <w:bodyDiv w:val="1"/>
      <w:marLeft w:val="0"/>
      <w:marRight w:val="0"/>
      <w:marTop w:val="0"/>
      <w:marBottom w:val="0"/>
      <w:divBdr>
        <w:top w:val="none" w:sz="0" w:space="0" w:color="auto"/>
        <w:left w:val="none" w:sz="0" w:space="0" w:color="auto"/>
        <w:bottom w:val="none" w:sz="0" w:space="0" w:color="auto"/>
        <w:right w:val="none" w:sz="0" w:space="0" w:color="auto"/>
      </w:divBdr>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83060580">
      <w:bodyDiv w:val="1"/>
      <w:marLeft w:val="0"/>
      <w:marRight w:val="0"/>
      <w:marTop w:val="0"/>
      <w:marBottom w:val="0"/>
      <w:divBdr>
        <w:top w:val="none" w:sz="0" w:space="0" w:color="auto"/>
        <w:left w:val="none" w:sz="0" w:space="0" w:color="auto"/>
        <w:bottom w:val="none" w:sz="0" w:space="0" w:color="auto"/>
        <w:right w:val="none" w:sz="0" w:space="0" w:color="auto"/>
      </w:divBdr>
    </w:div>
    <w:div w:id="887883916">
      <w:bodyDiv w:val="1"/>
      <w:marLeft w:val="0"/>
      <w:marRight w:val="0"/>
      <w:marTop w:val="0"/>
      <w:marBottom w:val="0"/>
      <w:divBdr>
        <w:top w:val="none" w:sz="0" w:space="0" w:color="auto"/>
        <w:left w:val="none" w:sz="0" w:space="0" w:color="auto"/>
        <w:bottom w:val="none" w:sz="0" w:space="0" w:color="auto"/>
        <w:right w:val="none" w:sz="0" w:space="0" w:color="auto"/>
      </w:divBdr>
      <w:divsChild>
        <w:div w:id="1091193682">
          <w:marLeft w:val="0"/>
          <w:marRight w:val="0"/>
          <w:marTop w:val="0"/>
          <w:marBottom w:val="0"/>
          <w:divBdr>
            <w:top w:val="none" w:sz="0" w:space="0" w:color="auto"/>
            <w:left w:val="none" w:sz="0" w:space="0" w:color="auto"/>
            <w:bottom w:val="none" w:sz="0" w:space="0" w:color="auto"/>
            <w:right w:val="none" w:sz="0" w:space="0" w:color="auto"/>
          </w:divBdr>
          <w:divsChild>
            <w:div w:id="240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5477">
      <w:bodyDiv w:val="1"/>
      <w:marLeft w:val="0"/>
      <w:marRight w:val="0"/>
      <w:marTop w:val="0"/>
      <w:marBottom w:val="0"/>
      <w:divBdr>
        <w:top w:val="none" w:sz="0" w:space="0" w:color="auto"/>
        <w:left w:val="none" w:sz="0" w:space="0" w:color="auto"/>
        <w:bottom w:val="none" w:sz="0" w:space="0" w:color="auto"/>
        <w:right w:val="none" w:sz="0" w:space="0" w:color="auto"/>
      </w:divBdr>
    </w:div>
    <w:div w:id="924995370">
      <w:bodyDiv w:val="1"/>
      <w:marLeft w:val="0"/>
      <w:marRight w:val="0"/>
      <w:marTop w:val="0"/>
      <w:marBottom w:val="0"/>
      <w:divBdr>
        <w:top w:val="none" w:sz="0" w:space="0" w:color="auto"/>
        <w:left w:val="none" w:sz="0" w:space="0" w:color="auto"/>
        <w:bottom w:val="none" w:sz="0" w:space="0" w:color="auto"/>
        <w:right w:val="none" w:sz="0" w:space="0" w:color="auto"/>
      </w:divBdr>
    </w:div>
    <w:div w:id="933973144">
      <w:bodyDiv w:val="1"/>
      <w:marLeft w:val="0"/>
      <w:marRight w:val="0"/>
      <w:marTop w:val="0"/>
      <w:marBottom w:val="0"/>
      <w:divBdr>
        <w:top w:val="none" w:sz="0" w:space="0" w:color="auto"/>
        <w:left w:val="none" w:sz="0" w:space="0" w:color="auto"/>
        <w:bottom w:val="none" w:sz="0" w:space="0" w:color="auto"/>
        <w:right w:val="none" w:sz="0" w:space="0" w:color="auto"/>
      </w:divBdr>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47011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990401757">
      <w:bodyDiv w:val="1"/>
      <w:marLeft w:val="0"/>
      <w:marRight w:val="0"/>
      <w:marTop w:val="0"/>
      <w:marBottom w:val="0"/>
      <w:divBdr>
        <w:top w:val="none" w:sz="0" w:space="0" w:color="auto"/>
        <w:left w:val="none" w:sz="0" w:space="0" w:color="auto"/>
        <w:bottom w:val="none" w:sz="0" w:space="0" w:color="auto"/>
        <w:right w:val="none" w:sz="0" w:space="0" w:color="auto"/>
      </w:divBdr>
    </w:div>
    <w:div w:id="1023478212">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24745263">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54935346">
      <w:bodyDiv w:val="1"/>
      <w:marLeft w:val="0"/>
      <w:marRight w:val="0"/>
      <w:marTop w:val="0"/>
      <w:marBottom w:val="0"/>
      <w:divBdr>
        <w:top w:val="none" w:sz="0" w:space="0" w:color="auto"/>
        <w:left w:val="none" w:sz="0" w:space="0" w:color="auto"/>
        <w:bottom w:val="none" w:sz="0" w:space="0" w:color="auto"/>
        <w:right w:val="none" w:sz="0" w:space="0" w:color="auto"/>
      </w:divBdr>
    </w:div>
    <w:div w:id="1064110528">
      <w:bodyDiv w:val="1"/>
      <w:marLeft w:val="0"/>
      <w:marRight w:val="0"/>
      <w:marTop w:val="0"/>
      <w:marBottom w:val="0"/>
      <w:divBdr>
        <w:top w:val="none" w:sz="0" w:space="0" w:color="auto"/>
        <w:left w:val="none" w:sz="0" w:space="0" w:color="auto"/>
        <w:bottom w:val="none" w:sz="0" w:space="0" w:color="auto"/>
        <w:right w:val="none" w:sz="0" w:space="0" w:color="auto"/>
      </w:divBdr>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091506562">
      <w:bodyDiv w:val="1"/>
      <w:marLeft w:val="0"/>
      <w:marRight w:val="0"/>
      <w:marTop w:val="0"/>
      <w:marBottom w:val="0"/>
      <w:divBdr>
        <w:top w:val="none" w:sz="0" w:space="0" w:color="auto"/>
        <w:left w:val="none" w:sz="0" w:space="0" w:color="auto"/>
        <w:bottom w:val="none" w:sz="0" w:space="0" w:color="auto"/>
        <w:right w:val="none" w:sz="0" w:space="0" w:color="auto"/>
      </w:divBdr>
    </w:div>
    <w:div w:id="1097866041">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388760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44347846">
      <w:bodyDiv w:val="1"/>
      <w:marLeft w:val="0"/>
      <w:marRight w:val="0"/>
      <w:marTop w:val="0"/>
      <w:marBottom w:val="0"/>
      <w:divBdr>
        <w:top w:val="none" w:sz="0" w:space="0" w:color="auto"/>
        <w:left w:val="none" w:sz="0" w:space="0" w:color="auto"/>
        <w:bottom w:val="none" w:sz="0" w:space="0" w:color="auto"/>
        <w:right w:val="none" w:sz="0" w:space="0" w:color="auto"/>
      </w:divBdr>
      <w:divsChild>
        <w:div w:id="1442652489">
          <w:marLeft w:val="0"/>
          <w:marRight w:val="0"/>
          <w:marTop w:val="0"/>
          <w:marBottom w:val="171"/>
          <w:divBdr>
            <w:top w:val="none" w:sz="0" w:space="0" w:color="auto"/>
            <w:left w:val="none" w:sz="0" w:space="0" w:color="auto"/>
            <w:bottom w:val="none" w:sz="0" w:space="0" w:color="auto"/>
            <w:right w:val="none" w:sz="0" w:space="0" w:color="auto"/>
          </w:divBdr>
          <w:divsChild>
            <w:div w:id="367024426">
              <w:marLeft w:val="0"/>
              <w:marRight w:val="0"/>
              <w:marTop w:val="0"/>
              <w:marBottom w:val="0"/>
              <w:divBdr>
                <w:top w:val="none" w:sz="0" w:space="0" w:color="auto"/>
                <w:left w:val="none" w:sz="0" w:space="0" w:color="auto"/>
                <w:bottom w:val="none" w:sz="0" w:space="0" w:color="auto"/>
                <w:right w:val="none" w:sz="0" w:space="0" w:color="auto"/>
              </w:divBdr>
              <w:divsChild>
                <w:div w:id="1767578386">
                  <w:marLeft w:val="0"/>
                  <w:marRight w:val="0"/>
                  <w:marTop w:val="0"/>
                  <w:marBottom w:val="0"/>
                  <w:divBdr>
                    <w:top w:val="none" w:sz="0" w:space="0" w:color="auto"/>
                    <w:left w:val="none" w:sz="0" w:space="0" w:color="auto"/>
                    <w:bottom w:val="none" w:sz="0" w:space="0" w:color="auto"/>
                    <w:right w:val="none" w:sz="0" w:space="0" w:color="auto"/>
                  </w:divBdr>
                  <w:divsChild>
                    <w:div w:id="115374818">
                      <w:marLeft w:val="0"/>
                      <w:marRight w:val="0"/>
                      <w:marTop w:val="0"/>
                      <w:marBottom w:val="0"/>
                      <w:divBdr>
                        <w:top w:val="none" w:sz="0" w:space="0" w:color="auto"/>
                        <w:left w:val="none" w:sz="0" w:space="0" w:color="auto"/>
                        <w:bottom w:val="none" w:sz="0" w:space="0" w:color="auto"/>
                        <w:right w:val="none" w:sz="0" w:space="0" w:color="auto"/>
                      </w:divBdr>
                      <w:divsChild>
                        <w:div w:id="1157529589">
                          <w:marLeft w:val="0"/>
                          <w:marRight w:val="0"/>
                          <w:marTop w:val="0"/>
                          <w:marBottom w:val="0"/>
                          <w:divBdr>
                            <w:top w:val="none" w:sz="0" w:space="0" w:color="auto"/>
                            <w:left w:val="none" w:sz="0" w:space="0" w:color="auto"/>
                            <w:bottom w:val="none" w:sz="0" w:space="0" w:color="auto"/>
                            <w:right w:val="none" w:sz="0" w:space="0" w:color="auto"/>
                          </w:divBdr>
                          <w:divsChild>
                            <w:div w:id="2116974565">
                              <w:marLeft w:val="0"/>
                              <w:marRight w:val="0"/>
                              <w:marTop w:val="0"/>
                              <w:marBottom w:val="0"/>
                              <w:divBdr>
                                <w:top w:val="none" w:sz="0" w:space="0" w:color="auto"/>
                                <w:left w:val="none" w:sz="0" w:space="0" w:color="auto"/>
                                <w:bottom w:val="none" w:sz="0" w:space="0" w:color="auto"/>
                                <w:right w:val="none" w:sz="0" w:space="0" w:color="auto"/>
                              </w:divBdr>
                              <w:divsChild>
                                <w:div w:id="392433992">
                                  <w:marLeft w:val="0"/>
                                  <w:marRight w:val="120"/>
                                  <w:marTop w:val="0"/>
                                  <w:marBottom w:val="0"/>
                                  <w:divBdr>
                                    <w:top w:val="none" w:sz="0" w:space="0" w:color="auto"/>
                                    <w:left w:val="none" w:sz="0" w:space="0" w:color="auto"/>
                                    <w:bottom w:val="none" w:sz="0" w:space="0" w:color="auto"/>
                                    <w:right w:val="none" w:sz="0" w:space="0" w:color="auto"/>
                                  </w:divBdr>
                                </w:div>
                                <w:div w:id="1685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193953339">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80918186">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05158697">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743756">
      <w:bodyDiv w:val="1"/>
      <w:marLeft w:val="0"/>
      <w:marRight w:val="0"/>
      <w:marTop w:val="0"/>
      <w:marBottom w:val="0"/>
      <w:divBdr>
        <w:top w:val="none" w:sz="0" w:space="0" w:color="auto"/>
        <w:left w:val="none" w:sz="0" w:space="0" w:color="auto"/>
        <w:bottom w:val="none" w:sz="0" w:space="0" w:color="auto"/>
        <w:right w:val="none" w:sz="0" w:space="0" w:color="auto"/>
      </w:divBdr>
    </w:div>
    <w:div w:id="1426071817">
      <w:bodyDiv w:val="1"/>
      <w:marLeft w:val="0"/>
      <w:marRight w:val="0"/>
      <w:marTop w:val="0"/>
      <w:marBottom w:val="0"/>
      <w:divBdr>
        <w:top w:val="none" w:sz="0" w:space="0" w:color="auto"/>
        <w:left w:val="none" w:sz="0" w:space="0" w:color="auto"/>
        <w:bottom w:val="none" w:sz="0" w:space="0" w:color="auto"/>
        <w:right w:val="none" w:sz="0" w:space="0" w:color="auto"/>
      </w:divBdr>
    </w:div>
    <w:div w:id="1429546371">
      <w:bodyDiv w:val="1"/>
      <w:marLeft w:val="0"/>
      <w:marRight w:val="0"/>
      <w:marTop w:val="0"/>
      <w:marBottom w:val="0"/>
      <w:divBdr>
        <w:top w:val="none" w:sz="0" w:space="0" w:color="auto"/>
        <w:left w:val="none" w:sz="0" w:space="0" w:color="auto"/>
        <w:bottom w:val="none" w:sz="0" w:space="0" w:color="auto"/>
        <w:right w:val="none" w:sz="0" w:space="0" w:color="auto"/>
      </w:divBdr>
    </w:div>
    <w:div w:id="1460803668">
      <w:bodyDiv w:val="1"/>
      <w:marLeft w:val="0"/>
      <w:marRight w:val="0"/>
      <w:marTop w:val="0"/>
      <w:marBottom w:val="0"/>
      <w:divBdr>
        <w:top w:val="none" w:sz="0" w:space="0" w:color="auto"/>
        <w:left w:val="none" w:sz="0" w:space="0" w:color="auto"/>
        <w:bottom w:val="none" w:sz="0" w:space="0" w:color="auto"/>
        <w:right w:val="none" w:sz="0" w:space="0" w:color="auto"/>
      </w:divBdr>
      <w:divsChild>
        <w:div w:id="1711686361">
          <w:marLeft w:val="0"/>
          <w:marRight w:val="0"/>
          <w:marTop w:val="0"/>
          <w:marBottom w:val="171"/>
          <w:divBdr>
            <w:top w:val="none" w:sz="0" w:space="0" w:color="auto"/>
            <w:left w:val="none" w:sz="0" w:space="0" w:color="auto"/>
            <w:bottom w:val="none" w:sz="0" w:space="0" w:color="auto"/>
            <w:right w:val="none" w:sz="0" w:space="0" w:color="auto"/>
          </w:divBdr>
          <w:divsChild>
            <w:div w:id="204369560">
              <w:marLeft w:val="0"/>
              <w:marRight w:val="0"/>
              <w:marTop w:val="0"/>
              <w:marBottom w:val="0"/>
              <w:divBdr>
                <w:top w:val="none" w:sz="0" w:space="0" w:color="auto"/>
                <w:left w:val="none" w:sz="0" w:space="0" w:color="auto"/>
                <w:bottom w:val="none" w:sz="0" w:space="0" w:color="auto"/>
                <w:right w:val="none" w:sz="0" w:space="0" w:color="auto"/>
              </w:divBdr>
              <w:divsChild>
                <w:div w:id="1269043475">
                  <w:marLeft w:val="0"/>
                  <w:marRight w:val="0"/>
                  <w:marTop w:val="0"/>
                  <w:marBottom w:val="0"/>
                  <w:divBdr>
                    <w:top w:val="none" w:sz="0" w:space="0" w:color="auto"/>
                    <w:left w:val="none" w:sz="0" w:space="0" w:color="auto"/>
                    <w:bottom w:val="none" w:sz="0" w:space="0" w:color="auto"/>
                    <w:right w:val="none" w:sz="0" w:space="0" w:color="auto"/>
                  </w:divBdr>
                  <w:divsChild>
                    <w:div w:id="28531937">
                      <w:marLeft w:val="0"/>
                      <w:marRight w:val="0"/>
                      <w:marTop w:val="0"/>
                      <w:marBottom w:val="0"/>
                      <w:divBdr>
                        <w:top w:val="none" w:sz="0" w:space="0" w:color="auto"/>
                        <w:left w:val="none" w:sz="0" w:space="0" w:color="auto"/>
                        <w:bottom w:val="none" w:sz="0" w:space="0" w:color="auto"/>
                        <w:right w:val="none" w:sz="0" w:space="0" w:color="auto"/>
                      </w:divBdr>
                      <w:divsChild>
                        <w:div w:id="1135682055">
                          <w:marLeft w:val="0"/>
                          <w:marRight w:val="0"/>
                          <w:marTop w:val="0"/>
                          <w:marBottom w:val="0"/>
                          <w:divBdr>
                            <w:top w:val="none" w:sz="0" w:space="0" w:color="auto"/>
                            <w:left w:val="none" w:sz="0" w:space="0" w:color="auto"/>
                            <w:bottom w:val="none" w:sz="0" w:space="0" w:color="auto"/>
                            <w:right w:val="none" w:sz="0" w:space="0" w:color="auto"/>
                          </w:divBdr>
                          <w:divsChild>
                            <w:div w:id="811488090">
                              <w:marLeft w:val="0"/>
                              <w:marRight w:val="0"/>
                              <w:marTop w:val="0"/>
                              <w:marBottom w:val="0"/>
                              <w:divBdr>
                                <w:top w:val="none" w:sz="0" w:space="0" w:color="auto"/>
                                <w:left w:val="none" w:sz="0" w:space="0" w:color="auto"/>
                                <w:bottom w:val="none" w:sz="0" w:space="0" w:color="auto"/>
                                <w:right w:val="none" w:sz="0" w:space="0" w:color="auto"/>
                              </w:divBdr>
                              <w:divsChild>
                                <w:div w:id="1413118214">
                                  <w:marLeft w:val="0"/>
                                  <w:marRight w:val="120"/>
                                  <w:marTop w:val="0"/>
                                  <w:marBottom w:val="0"/>
                                  <w:divBdr>
                                    <w:top w:val="none" w:sz="0" w:space="0" w:color="auto"/>
                                    <w:left w:val="none" w:sz="0" w:space="0" w:color="auto"/>
                                    <w:bottom w:val="none" w:sz="0" w:space="0" w:color="auto"/>
                                    <w:right w:val="none" w:sz="0" w:space="0" w:color="auto"/>
                                  </w:divBdr>
                                </w:div>
                                <w:div w:id="1827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8175">
      <w:bodyDiv w:val="1"/>
      <w:marLeft w:val="0"/>
      <w:marRight w:val="0"/>
      <w:marTop w:val="0"/>
      <w:marBottom w:val="0"/>
      <w:divBdr>
        <w:top w:val="none" w:sz="0" w:space="0" w:color="auto"/>
        <w:left w:val="none" w:sz="0" w:space="0" w:color="auto"/>
        <w:bottom w:val="none" w:sz="0" w:space="0" w:color="auto"/>
        <w:right w:val="none" w:sz="0" w:space="0" w:color="auto"/>
      </w:divBdr>
      <w:divsChild>
        <w:div w:id="417483026">
          <w:marLeft w:val="0"/>
          <w:marRight w:val="0"/>
          <w:marTop w:val="0"/>
          <w:marBottom w:val="0"/>
          <w:divBdr>
            <w:top w:val="none" w:sz="0" w:space="0" w:color="auto"/>
            <w:left w:val="none" w:sz="0" w:space="0" w:color="auto"/>
            <w:bottom w:val="none" w:sz="0" w:space="0" w:color="auto"/>
            <w:right w:val="none" w:sz="0" w:space="0" w:color="auto"/>
          </w:divBdr>
          <w:divsChild>
            <w:div w:id="672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48608">
      <w:bodyDiv w:val="1"/>
      <w:marLeft w:val="0"/>
      <w:marRight w:val="0"/>
      <w:marTop w:val="0"/>
      <w:marBottom w:val="0"/>
      <w:divBdr>
        <w:top w:val="none" w:sz="0" w:space="0" w:color="auto"/>
        <w:left w:val="none" w:sz="0" w:space="0" w:color="auto"/>
        <w:bottom w:val="none" w:sz="0" w:space="0" w:color="auto"/>
        <w:right w:val="none" w:sz="0" w:space="0" w:color="auto"/>
      </w:divBdr>
    </w:div>
    <w:div w:id="1474256591">
      <w:bodyDiv w:val="1"/>
      <w:marLeft w:val="0"/>
      <w:marRight w:val="0"/>
      <w:marTop w:val="0"/>
      <w:marBottom w:val="0"/>
      <w:divBdr>
        <w:top w:val="none" w:sz="0" w:space="0" w:color="auto"/>
        <w:left w:val="none" w:sz="0" w:space="0" w:color="auto"/>
        <w:bottom w:val="none" w:sz="0" w:space="0" w:color="auto"/>
        <w:right w:val="none" w:sz="0" w:space="0" w:color="auto"/>
      </w:divBdr>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5224">
      <w:bodyDiv w:val="1"/>
      <w:marLeft w:val="0"/>
      <w:marRight w:val="0"/>
      <w:marTop w:val="0"/>
      <w:marBottom w:val="0"/>
      <w:divBdr>
        <w:top w:val="none" w:sz="0" w:space="0" w:color="auto"/>
        <w:left w:val="none" w:sz="0" w:space="0" w:color="auto"/>
        <w:bottom w:val="none" w:sz="0" w:space="0" w:color="auto"/>
        <w:right w:val="none" w:sz="0" w:space="0" w:color="auto"/>
      </w:divBdr>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28541">
      <w:bodyDiv w:val="1"/>
      <w:marLeft w:val="0"/>
      <w:marRight w:val="0"/>
      <w:marTop w:val="0"/>
      <w:marBottom w:val="0"/>
      <w:divBdr>
        <w:top w:val="none" w:sz="0" w:space="0" w:color="auto"/>
        <w:left w:val="none" w:sz="0" w:space="0" w:color="auto"/>
        <w:bottom w:val="none" w:sz="0" w:space="0" w:color="auto"/>
        <w:right w:val="none" w:sz="0" w:space="0" w:color="auto"/>
      </w:divBdr>
    </w:div>
    <w:div w:id="1537963797">
      <w:bodyDiv w:val="1"/>
      <w:marLeft w:val="0"/>
      <w:marRight w:val="0"/>
      <w:marTop w:val="0"/>
      <w:marBottom w:val="0"/>
      <w:divBdr>
        <w:top w:val="none" w:sz="0" w:space="0" w:color="auto"/>
        <w:left w:val="none" w:sz="0" w:space="0" w:color="auto"/>
        <w:bottom w:val="none" w:sz="0" w:space="0" w:color="auto"/>
        <w:right w:val="none" w:sz="0" w:space="0" w:color="auto"/>
      </w:divBdr>
    </w:div>
    <w:div w:id="1542010280">
      <w:bodyDiv w:val="1"/>
      <w:marLeft w:val="0"/>
      <w:marRight w:val="0"/>
      <w:marTop w:val="0"/>
      <w:marBottom w:val="0"/>
      <w:divBdr>
        <w:top w:val="none" w:sz="0" w:space="0" w:color="auto"/>
        <w:left w:val="none" w:sz="0" w:space="0" w:color="auto"/>
        <w:bottom w:val="none" w:sz="0" w:space="0" w:color="auto"/>
        <w:right w:val="none" w:sz="0" w:space="0" w:color="auto"/>
      </w:divBdr>
    </w:div>
    <w:div w:id="1570264655">
      <w:bodyDiv w:val="1"/>
      <w:marLeft w:val="0"/>
      <w:marRight w:val="0"/>
      <w:marTop w:val="0"/>
      <w:marBottom w:val="0"/>
      <w:divBdr>
        <w:top w:val="none" w:sz="0" w:space="0" w:color="auto"/>
        <w:left w:val="none" w:sz="0" w:space="0" w:color="auto"/>
        <w:bottom w:val="none" w:sz="0" w:space="0" w:color="auto"/>
        <w:right w:val="none" w:sz="0" w:space="0" w:color="auto"/>
      </w:divBdr>
    </w:div>
    <w:div w:id="1628311556">
      <w:bodyDiv w:val="1"/>
      <w:marLeft w:val="0"/>
      <w:marRight w:val="0"/>
      <w:marTop w:val="0"/>
      <w:marBottom w:val="0"/>
      <w:divBdr>
        <w:top w:val="none" w:sz="0" w:space="0" w:color="auto"/>
        <w:left w:val="none" w:sz="0" w:space="0" w:color="auto"/>
        <w:bottom w:val="none" w:sz="0" w:space="0" w:color="auto"/>
        <w:right w:val="none" w:sz="0" w:space="0" w:color="auto"/>
      </w:divBdr>
    </w:div>
    <w:div w:id="1639453971">
      <w:bodyDiv w:val="1"/>
      <w:marLeft w:val="0"/>
      <w:marRight w:val="0"/>
      <w:marTop w:val="0"/>
      <w:marBottom w:val="0"/>
      <w:divBdr>
        <w:top w:val="none" w:sz="0" w:space="0" w:color="auto"/>
        <w:left w:val="none" w:sz="0" w:space="0" w:color="auto"/>
        <w:bottom w:val="none" w:sz="0" w:space="0" w:color="auto"/>
        <w:right w:val="none" w:sz="0" w:space="0" w:color="auto"/>
      </w:divBdr>
    </w:div>
    <w:div w:id="1649749408">
      <w:bodyDiv w:val="1"/>
      <w:marLeft w:val="0"/>
      <w:marRight w:val="0"/>
      <w:marTop w:val="0"/>
      <w:marBottom w:val="0"/>
      <w:divBdr>
        <w:top w:val="none" w:sz="0" w:space="0" w:color="auto"/>
        <w:left w:val="none" w:sz="0" w:space="0" w:color="auto"/>
        <w:bottom w:val="none" w:sz="0" w:space="0" w:color="auto"/>
        <w:right w:val="none" w:sz="0" w:space="0" w:color="auto"/>
      </w:divBdr>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52908174">
      <w:bodyDiv w:val="1"/>
      <w:marLeft w:val="0"/>
      <w:marRight w:val="0"/>
      <w:marTop w:val="0"/>
      <w:marBottom w:val="0"/>
      <w:divBdr>
        <w:top w:val="none" w:sz="0" w:space="0" w:color="auto"/>
        <w:left w:val="none" w:sz="0" w:space="0" w:color="auto"/>
        <w:bottom w:val="none" w:sz="0" w:space="0" w:color="auto"/>
        <w:right w:val="none" w:sz="0" w:space="0" w:color="auto"/>
      </w:divBdr>
    </w:div>
    <w:div w:id="1677150336">
      <w:bodyDiv w:val="1"/>
      <w:marLeft w:val="0"/>
      <w:marRight w:val="0"/>
      <w:marTop w:val="0"/>
      <w:marBottom w:val="0"/>
      <w:divBdr>
        <w:top w:val="none" w:sz="0" w:space="0" w:color="auto"/>
        <w:left w:val="none" w:sz="0" w:space="0" w:color="auto"/>
        <w:bottom w:val="none" w:sz="0" w:space="0" w:color="auto"/>
        <w:right w:val="none" w:sz="0" w:space="0" w:color="auto"/>
      </w:divBdr>
    </w:div>
    <w:div w:id="1686203628">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698266751">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10181042">
      <w:bodyDiv w:val="1"/>
      <w:marLeft w:val="0"/>
      <w:marRight w:val="0"/>
      <w:marTop w:val="0"/>
      <w:marBottom w:val="0"/>
      <w:divBdr>
        <w:top w:val="none" w:sz="0" w:space="0" w:color="auto"/>
        <w:left w:val="none" w:sz="0" w:space="0" w:color="auto"/>
        <w:bottom w:val="none" w:sz="0" w:space="0" w:color="auto"/>
        <w:right w:val="none" w:sz="0" w:space="0" w:color="auto"/>
      </w:divBdr>
      <w:divsChild>
        <w:div w:id="123934924">
          <w:marLeft w:val="0"/>
          <w:marRight w:val="0"/>
          <w:marTop w:val="0"/>
          <w:marBottom w:val="171"/>
          <w:divBdr>
            <w:top w:val="none" w:sz="0" w:space="0" w:color="auto"/>
            <w:left w:val="none" w:sz="0" w:space="0" w:color="auto"/>
            <w:bottom w:val="none" w:sz="0" w:space="0" w:color="auto"/>
            <w:right w:val="none" w:sz="0" w:space="0" w:color="auto"/>
          </w:divBdr>
          <w:divsChild>
            <w:div w:id="1137453566">
              <w:marLeft w:val="0"/>
              <w:marRight w:val="0"/>
              <w:marTop w:val="0"/>
              <w:marBottom w:val="0"/>
              <w:divBdr>
                <w:top w:val="none" w:sz="0" w:space="0" w:color="auto"/>
                <w:left w:val="none" w:sz="0" w:space="0" w:color="auto"/>
                <w:bottom w:val="none" w:sz="0" w:space="0" w:color="auto"/>
                <w:right w:val="none" w:sz="0" w:space="0" w:color="auto"/>
              </w:divBdr>
              <w:divsChild>
                <w:div w:id="334303678">
                  <w:marLeft w:val="0"/>
                  <w:marRight w:val="0"/>
                  <w:marTop w:val="0"/>
                  <w:marBottom w:val="0"/>
                  <w:divBdr>
                    <w:top w:val="none" w:sz="0" w:space="0" w:color="auto"/>
                    <w:left w:val="none" w:sz="0" w:space="0" w:color="auto"/>
                    <w:bottom w:val="none" w:sz="0" w:space="0" w:color="auto"/>
                    <w:right w:val="none" w:sz="0" w:space="0" w:color="auto"/>
                  </w:divBdr>
                  <w:divsChild>
                    <w:div w:id="1411073576">
                      <w:marLeft w:val="0"/>
                      <w:marRight w:val="0"/>
                      <w:marTop w:val="0"/>
                      <w:marBottom w:val="0"/>
                      <w:divBdr>
                        <w:top w:val="none" w:sz="0" w:space="0" w:color="auto"/>
                        <w:left w:val="none" w:sz="0" w:space="0" w:color="auto"/>
                        <w:bottom w:val="none" w:sz="0" w:space="0" w:color="auto"/>
                        <w:right w:val="none" w:sz="0" w:space="0" w:color="auto"/>
                      </w:divBdr>
                      <w:divsChild>
                        <w:div w:id="886143911">
                          <w:marLeft w:val="0"/>
                          <w:marRight w:val="0"/>
                          <w:marTop w:val="0"/>
                          <w:marBottom w:val="0"/>
                          <w:divBdr>
                            <w:top w:val="none" w:sz="0" w:space="0" w:color="auto"/>
                            <w:left w:val="none" w:sz="0" w:space="0" w:color="auto"/>
                            <w:bottom w:val="none" w:sz="0" w:space="0" w:color="auto"/>
                            <w:right w:val="none" w:sz="0" w:space="0" w:color="auto"/>
                          </w:divBdr>
                          <w:divsChild>
                            <w:div w:id="227614977">
                              <w:marLeft w:val="0"/>
                              <w:marRight w:val="0"/>
                              <w:marTop w:val="0"/>
                              <w:marBottom w:val="0"/>
                              <w:divBdr>
                                <w:top w:val="none" w:sz="0" w:space="0" w:color="auto"/>
                                <w:left w:val="none" w:sz="0" w:space="0" w:color="auto"/>
                                <w:bottom w:val="none" w:sz="0" w:space="0" w:color="auto"/>
                                <w:right w:val="none" w:sz="0" w:space="0" w:color="auto"/>
                              </w:divBdr>
                              <w:divsChild>
                                <w:div w:id="1762679524">
                                  <w:marLeft w:val="0"/>
                                  <w:marRight w:val="120"/>
                                  <w:marTop w:val="0"/>
                                  <w:marBottom w:val="0"/>
                                  <w:divBdr>
                                    <w:top w:val="none" w:sz="0" w:space="0" w:color="auto"/>
                                    <w:left w:val="none" w:sz="0" w:space="0" w:color="auto"/>
                                    <w:bottom w:val="none" w:sz="0" w:space="0" w:color="auto"/>
                                    <w:right w:val="none" w:sz="0" w:space="0" w:color="auto"/>
                                  </w:divBdr>
                                </w:div>
                                <w:div w:id="611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786776079">
      <w:bodyDiv w:val="1"/>
      <w:marLeft w:val="0"/>
      <w:marRight w:val="0"/>
      <w:marTop w:val="0"/>
      <w:marBottom w:val="0"/>
      <w:divBdr>
        <w:top w:val="none" w:sz="0" w:space="0" w:color="auto"/>
        <w:left w:val="none" w:sz="0" w:space="0" w:color="auto"/>
        <w:bottom w:val="none" w:sz="0" w:space="0" w:color="auto"/>
        <w:right w:val="none" w:sz="0" w:space="0" w:color="auto"/>
      </w:divBdr>
    </w:div>
    <w:div w:id="1791704453">
      <w:bodyDiv w:val="1"/>
      <w:marLeft w:val="0"/>
      <w:marRight w:val="0"/>
      <w:marTop w:val="0"/>
      <w:marBottom w:val="0"/>
      <w:divBdr>
        <w:top w:val="none" w:sz="0" w:space="0" w:color="auto"/>
        <w:left w:val="none" w:sz="0" w:space="0" w:color="auto"/>
        <w:bottom w:val="none" w:sz="0" w:space="0" w:color="auto"/>
        <w:right w:val="none" w:sz="0" w:space="0" w:color="auto"/>
      </w:divBdr>
    </w:div>
    <w:div w:id="1804999339">
      <w:bodyDiv w:val="1"/>
      <w:marLeft w:val="0"/>
      <w:marRight w:val="0"/>
      <w:marTop w:val="0"/>
      <w:marBottom w:val="0"/>
      <w:divBdr>
        <w:top w:val="none" w:sz="0" w:space="0" w:color="auto"/>
        <w:left w:val="none" w:sz="0" w:space="0" w:color="auto"/>
        <w:bottom w:val="none" w:sz="0" w:space="0" w:color="auto"/>
        <w:right w:val="none" w:sz="0" w:space="0" w:color="auto"/>
      </w:divBdr>
    </w:div>
    <w:div w:id="1807309889">
      <w:bodyDiv w:val="1"/>
      <w:marLeft w:val="0"/>
      <w:marRight w:val="0"/>
      <w:marTop w:val="0"/>
      <w:marBottom w:val="0"/>
      <w:divBdr>
        <w:top w:val="none" w:sz="0" w:space="0" w:color="auto"/>
        <w:left w:val="none" w:sz="0" w:space="0" w:color="auto"/>
        <w:bottom w:val="none" w:sz="0" w:space="0" w:color="auto"/>
        <w:right w:val="none" w:sz="0" w:space="0" w:color="auto"/>
      </w:divBdr>
    </w:div>
    <w:div w:id="1831798171">
      <w:bodyDiv w:val="1"/>
      <w:marLeft w:val="0"/>
      <w:marRight w:val="0"/>
      <w:marTop w:val="0"/>
      <w:marBottom w:val="0"/>
      <w:divBdr>
        <w:top w:val="none" w:sz="0" w:space="0" w:color="auto"/>
        <w:left w:val="none" w:sz="0" w:space="0" w:color="auto"/>
        <w:bottom w:val="none" w:sz="0" w:space="0" w:color="auto"/>
        <w:right w:val="none" w:sz="0" w:space="0" w:color="auto"/>
      </w:divBdr>
    </w:div>
    <w:div w:id="1834642264">
      <w:bodyDiv w:val="1"/>
      <w:marLeft w:val="0"/>
      <w:marRight w:val="0"/>
      <w:marTop w:val="0"/>
      <w:marBottom w:val="0"/>
      <w:divBdr>
        <w:top w:val="none" w:sz="0" w:space="0" w:color="auto"/>
        <w:left w:val="none" w:sz="0" w:space="0" w:color="auto"/>
        <w:bottom w:val="none" w:sz="0" w:space="0" w:color="auto"/>
        <w:right w:val="none" w:sz="0" w:space="0" w:color="auto"/>
      </w:divBdr>
      <w:divsChild>
        <w:div w:id="688221151">
          <w:marLeft w:val="0"/>
          <w:marRight w:val="0"/>
          <w:marTop w:val="0"/>
          <w:marBottom w:val="171"/>
          <w:divBdr>
            <w:top w:val="none" w:sz="0" w:space="0" w:color="auto"/>
            <w:left w:val="none" w:sz="0" w:space="0" w:color="auto"/>
            <w:bottom w:val="none" w:sz="0" w:space="0" w:color="auto"/>
            <w:right w:val="none" w:sz="0" w:space="0" w:color="auto"/>
          </w:divBdr>
          <w:divsChild>
            <w:div w:id="1158426758">
              <w:marLeft w:val="0"/>
              <w:marRight w:val="0"/>
              <w:marTop w:val="0"/>
              <w:marBottom w:val="0"/>
              <w:divBdr>
                <w:top w:val="none" w:sz="0" w:space="0" w:color="auto"/>
                <w:left w:val="none" w:sz="0" w:space="0" w:color="auto"/>
                <w:bottom w:val="none" w:sz="0" w:space="0" w:color="auto"/>
                <w:right w:val="none" w:sz="0" w:space="0" w:color="auto"/>
              </w:divBdr>
              <w:divsChild>
                <w:div w:id="1704284528">
                  <w:marLeft w:val="0"/>
                  <w:marRight w:val="0"/>
                  <w:marTop w:val="0"/>
                  <w:marBottom w:val="0"/>
                  <w:divBdr>
                    <w:top w:val="none" w:sz="0" w:space="0" w:color="auto"/>
                    <w:left w:val="none" w:sz="0" w:space="0" w:color="auto"/>
                    <w:bottom w:val="none" w:sz="0" w:space="0" w:color="auto"/>
                    <w:right w:val="none" w:sz="0" w:space="0" w:color="auto"/>
                  </w:divBdr>
                  <w:divsChild>
                    <w:div w:id="2020497220">
                      <w:marLeft w:val="0"/>
                      <w:marRight w:val="0"/>
                      <w:marTop w:val="0"/>
                      <w:marBottom w:val="0"/>
                      <w:divBdr>
                        <w:top w:val="none" w:sz="0" w:space="0" w:color="auto"/>
                        <w:left w:val="none" w:sz="0" w:space="0" w:color="auto"/>
                        <w:bottom w:val="none" w:sz="0" w:space="0" w:color="auto"/>
                        <w:right w:val="none" w:sz="0" w:space="0" w:color="auto"/>
                      </w:divBdr>
                      <w:divsChild>
                        <w:div w:id="1698576755">
                          <w:marLeft w:val="0"/>
                          <w:marRight w:val="0"/>
                          <w:marTop w:val="0"/>
                          <w:marBottom w:val="0"/>
                          <w:divBdr>
                            <w:top w:val="none" w:sz="0" w:space="0" w:color="auto"/>
                            <w:left w:val="none" w:sz="0" w:space="0" w:color="auto"/>
                            <w:bottom w:val="none" w:sz="0" w:space="0" w:color="auto"/>
                            <w:right w:val="none" w:sz="0" w:space="0" w:color="auto"/>
                          </w:divBdr>
                          <w:divsChild>
                            <w:div w:id="224529428">
                              <w:marLeft w:val="0"/>
                              <w:marRight w:val="0"/>
                              <w:marTop w:val="0"/>
                              <w:marBottom w:val="0"/>
                              <w:divBdr>
                                <w:top w:val="none" w:sz="0" w:space="0" w:color="auto"/>
                                <w:left w:val="none" w:sz="0" w:space="0" w:color="auto"/>
                                <w:bottom w:val="none" w:sz="0" w:space="0" w:color="auto"/>
                                <w:right w:val="none" w:sz="0" w:space="0" w:color="auto"/>
                              </w:divBdr>
                              <w:divsChild>
                                <w:div w:id="717360480">
                                  <w:marLeft w:val="0"/>
                                  <w:marRight w:val="120"/>
                                  <w:marTop w:val="0"/>
                                  <w:marBottom w:val="0"/>
                                  <w:divBdr>
                                    <w:top w:val="none" w:sz="0" w:space="0" w:color="auto"/>
                                    <w:left w:val="none" w:sz="0" w:space="0" w:color="auto"/>
                                    <w:bottom w:val="none" w:sz="0" w:space="0" w:color="auto"/>
                                    <w:right w:val="none" w:sz="0" w:space="0" w:color="auto"/>
                                  </w:divBdr>
                                </w:div>
                                <w:div w:id="6229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50651">
      <w:bodyDiv w:val="1"/>
      <w:marLeft w:val="0"/>
      <w:marRight w:val="0"/>
      <w:marTop w:val="0"/>
      <w:marBottom w:val="0"/>
      <w:divBdr>
        <w:top w:val="none" w:sz="0" w:space="0" w:color="auto"/>
        <w:left w:val="none" w:sz="0" w:space="0" w:color="auto"/>
        <w:bottom w:val="none" w:sz="0" w:space="0" w:color="auto"/>
        <w:right w:val="none" w:sz="0" w:space="0" w:color="auto"/>
      </w:divBdr>
    </w:div>
    <w:div w:id="1852136302">
      <w:bodyDiv w:val="1"/>
      <w:marLeft w:val="0"/>
      <w:marRight w:val="0"/>
      <w:marTop w:val="0"/>
      <w:marBottom w:val="0"/>
      <w:divBdr>
        <w:top w:val="none" w:sz="0" w:space="0" w:color="auto"/>
        <w:left w:val="none" w:sz="0" w:space="0" w:color="auto"/>
        <w:bottom w:val="none" w:sz="0" w:space="0" w:color="auto"/>
        <w:right w:val="none" w:sz="0" w:space="0" w:color="auto"/>
      </w:divBdr>
    </w:div>
    <w:div w:id="1865316194">
      <w:bodyDiv w:val="1"/>
      <w:marLeft w:val="0"/>
      <w:marRight w:val="0"/>
      <w:marTop w:val="0"/>
      <w:marBottom w:val="0"/>
      <w:divBdr>
        <w:top w:val="none" w:sz="0" w:space="0" w:color="auto"/>
        <w:left w:val="none" w:sz="0" w:space="0" w:color="auto"/>
        <w:bottom w:val="none" w:sz="0" w:space="0" w:color="auto"/>
        <w:right w:val="none" w:sz="0" w:space="0" w:color="auto"/>
      </w:divBdr>
    </w:div>
    <w:div w:id="1872839306">
      <w:bodyDiv w:val="1"/>
      <w:marLeft w:val="0"/>
      <w:marRight w:val="0"/>
      <w:marTop w:val="0"/>
      <w:marBottom w:val="0"/>
      <w:divBdr>
        <w:top w:val="none" w:sz="0" w:space="0" w:color="auto"/>
        <w:left w:val="none" w:sz="0" w:space="0" w:color="auto"/>
        <w:bottom w:val="none" w:sz="0" w:space="0" w:color="auto"/>
        <w:right w:val="none" w:sz="0" w:space="0" w:color="auto"/>
      </w:divBdr>
    </w:div>
    <w:div w:id="1894072255">
      <w:bodyDiv w:val="1"/>
      <w:marLeft w:val="0"/>
      <w:marRight w:val="0"/>
      <w:marTop w:val="0"/>
      <w:marBottom w:val="0"/>
      <w:divBdr>
        <w:top w:val="none" w:sz="0" w:space="0" w:color="auto"/>
        <w:left w:val="none" w:sz="0" w:space="0" w:color="auto"/>
        <w:bottom w:val="none" w:sz="0" w:space="0" w:color="auto"/>
        <w:right w:val="none" w:sz="0" w:space="0" w:color="auto"/>
      </w:divBdr>
      <w:divsChild>
        <w:div w:id="1312101527">
          <w:marLeft w:val="0"/>
          <w:marRight w:val="0"/>
          <w:marTop w:val="0"/>
          <w:marBottom w:val="171"/>
          <w:divBdr>
            <w:top w:val="none" w:sz="0" w:space="0" w:color="auto"/>
            <w:left w:val="none" w:sz="0" w:space="0" w:color="auto"/>
            <w:bottom w:val="none" w:sz="0" w:space="0" w:color="auto"/>
            <w:right w:val="none" w:sz="0" w:space="0" w:color="auto"/>
          </w:divBdr>
          <w:divsChild>
            <w:div w:id="1678069838">
              <w:marLeft w:val="0"/>
              <w:marRight w:val="0"/>
              <w:marTop w:val="0"/>
              <w:marBottom w:val="0"/>
              <w:divBdr>
                <w:top w:val="none" w:sz="0" w:space="0" w:color="auto"/>
                <w:left w:val="none" w:sz="0" w:space="0" w:color="auto"/>
                <w:bottom w:val="none" w:sz="0" w:space="0" w:color="auto"/>
                <w:right w:val="none" w:sz="0" w:space="0" w:color="auto"/>
              </w:divBdr>
              <w:divsChild>
                <w:div w:id="1858890005">
                  <w:marLeft w:val="0"/>
                  <w:marRight w:val="0"/>
                  <w:marTop w:val="0"/>
                  <w:marBottom w:val="0"/>
                  <w:divBdr>
                    <w:top w:val="none" w:sz="0" w:space="0" w:color="auto"/>
                    <w:left w:val="none" w:sz="0" w:space="0" w:color="auto"/>
                    <w:bottom w:val="none" w:sz="0" w:space="0" w:color="auto"/>
                    <w:right w:val="none" w:sz="0" w:space="0" w:color="auto"/>
                  </w:divBdr>
                  <w:divsChild>
                    <w:div w:id="241372554">
                      <w:marLeft w:val="0"/>
                      <w:marRight w:val="0"/>
                      <w:marTop w:val="0"/>
                      <w:marBottom w:val="0"/>
                      <w:divBdr>
                        <w:top w:val="none" w:sz="0" w:space="0" w:color="auto"/>
                        <w:left w:val="none" w:sz="0" w:space="0" w:color="auto"/>
                        <w:bottom w:val="none" w:sz="0" w:space="0" w:color="auto"/>
                        <w:right w:val="none" w:sz="0" w:space="0" w:color="auto"/>
                      </w:divBdr>
                      <w:divsChild>
                        <w:div w:id="1137456219">
                          <w:marLeft w:val="0"/>
                          <w:marRight w:val="0"/>
                          <w:marTop w:val="0"/>
                          <w:marBottom w:val="0"/>
                          <w:divBdr>
                            <w:top w:val="none" w:sz="0" w:space="0" w:color="auto"/>
                            <w:left w:val="none" w:sz="0" w:space="0" w:color="auto"/>
                            <w:bottom w:val="none" w:sz="0" w:space="0" w:color="auto"/>
                            <w:right w:val="none" w:sz="0" w:space="0" w:color="auto"/>
                          </w:divBdr>
                          <w:divsChild>
                            <w:div w:id="1880849238">
                              <w:marLeft w:val="0"/>
                              <w:marRight w:val="0"/>
                              <w:marTop w:val="0"/>
                              <w:marBottom w:val="0"/>
                              <w:divBdr>
                                <w:top w:val="none" w:sz="0" w:space="0" w:color="auto"/>
                                <w:left w:val="none" w:sz="0" w:space="0" w:color="auto"/>
                                <w:bottom w:val="none" w:sz="0" w:space="0" w:color="auto"/>
                                <w:right w:val="none" w:sz="0" w:space="0" w:color="auto"/>
                              </w:divBdr>
                              <w:divsChild>
                                <w:div w:id="1154643898">
                                  <w:marLeft w:val="0"/>
                                  <w:marRight w:val="120"/>
                                  <w:marTop w:val="0"/>
                                  <w:marBottom w:val="0"/>
                                  <w:divBdr>
                                    <w:top w:val="none" w:sz="0" w:space="0" w:color="auto"/>
                                    <w:left w:val="none" w:sz="0" w:space="0" w:color="auto"/>
                                    <w:bottom w:val="none" w:sz="0" w:space="0" w:color="auto"/>
                                    <w:right w:val="none" w:sz="0" w:space="0" w:color="auto"/>
                                  </w:divBdr>
                                </w:div>
                                <w:div w:id="10064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9068002">
      <w:bodyDiv w:val="1"/>
      <w:marLeft w:val="0"/>
      <w:marRight w:val="0"/>
      <w:marTop w:val="0"/>
      <w:marBottom w:val="0"/>
      <w:divBdr>
        <w:top w:val="none" w:sz="0" w:space="0" w:color="auto"/>
        <w:left w:val="none" w:sz="0" w:space="0" w:color="auto"/>
        <w:bottom w:val="none" w:sz="0" w:space="0" w:color="auto"/>
        <w:right w:val="none" w:sz="0" w:space="0" w:color="auto"/>
      </w:divBdr>
    </w:div>
    <w:div w:id="1936202827">
      <w:bodyDiv w:val="1"/>
      <w:marLeft w:val="0"/>
      <w:marRight w:val="0"/>
      <w:marTop w:val="0"/>
      <w:marBottom w:val="0"/>
      <w:divBdr>
        <w:top w:val="none" w:sz="0" w:space="0" w:color="auto"/>
        <w:left w:val="none" w:sz="0" w:space="0" w:color="auto"/>
        <w:bottom w:val="none" w:sz="0" w:space="0" w:color="auto"/>
        <w:right w:val="none" w:sz="0" w:space="0" w:color="auto"/>
      </w:divBdr>
    </w:div>
    <w:div w:id="1951665136">
      <w:bodyDiv w:val="1"/>
      <w:marLeft w:val="0"/>
      <w:marRight w:val="0"/>
      <w:marTop w:val="0"/>
      <w:marBottom w:val="0"/>
      <w:divBdr>
        <w:top w:val="none" w:sz="0" w:space="0" w:color="auto"/>
        <w:left w:val="none" w:sz="0" w:space="0" w:color="auto"/>
        <w:bottom w:val="none" w:sz="0" w:space="0" w:color="auto"/>
        <w:right w:val="none" w:sz="0" w:space="0" w:color="auto"/>
      </w:divBdr>
    </w:div>
    <w:div w:id="1966083069">
      <w:bodyDiv w:val="1"/>
      <w:marLeft w:val="0"/>
      <w:marRight w:val="0"/>
      <w:marTop w:val="0"/>
      <w:marBottom w:val="0"/>
      <w:divBdr>
        <w:top w:val="none" w:sz="0" w:space="0" w:color="auto"/>
        <w:left w:val="none" w:sz="0" w:space="0" w:color="auto"/>
        <w:bottom w:val="none" w:sz="0" w:space="0" w:color="auto"/>
        <w:right w:val="none" w:sz="0" w:space="0" w:color="auto"/>
      </w:divBdr>
    </w:div>
    <w:div w:id="1976520557">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 w:id="1998262950">
      <w:bodyDiv w:val="1"/>
      <w:marLeft w:val="0"/>
      <w:marRight w:val="0"/>
      <w:marTop w:val="0"/>
      <w:marBottom w:val="0"/>
      <w:divBdr>
        <w:top w:val="none" w:sz="0" w:space="0" w:color="auto"/>
        <w:left w:val="none" w:sz="0" w:space="0" w:color="auto"/>
        <w:bottom w:val="none" w:sz="0" w:space="0" w:color="auto"/>
        <w:right w:val="none" w:sz="0" w:space="0" w:color="auto"/>
      </w:divBdr>
    </w:div>
    <w:div w:id="2024819986">
      <w:bodyDiv w:val="1"/>
      <w:marLeft w:val="0"/>
      <w:marRight w:val="0"/>
      <w:marTop w:val="0"/>
      <w:marBottom w:val="0"/>
      <w:divBdr>
        <w:top w:val="none" w:sz="0" w:space="0" w:color="auto"/>
        <w:left w:val="none" w:sz="0" w:space="0" w:color="auto"/>
        <w:bottom w:val="none" w:sz="0" w:space="0" w:color="auto"/>
        <w:right w:val="none" w:sz="0" w:space="0" w:color="auto"/>
      </w:divBdr>
    </w:div>
    <w:div w:id="2031299679">
      <w:bodyDiv w:val="1"/>
      <w:marLeft w:val="0"/>
      <w:marRight w:val="0"/>
      <w:marTop w:val="0"/>
      <w:marBottom w:val="0"/>
      <w:divBdr>
        <w:top w:val="none" w:sz="0" w:space="0" w:color="auto"/>
        <w:left w:val="none" w:sz="0" w:space="0" w:color="auto"/>
        <w:bottom w:val="none" w:sz="0" w:space="0" w:color="auto"/>
        <w:right w:val="none" w:sz="0" w:space="0" w:color="auto"/>
      </w:divBdr>
    </w:div>
    <w:div w:id="2033874750">
      <w:bodyDiv w:val="1"/>
      <w:marLeft w:val="0"/>
      <w:marRight w:val="0"/>
      <w:marTop w:val="0"/>
      <w:marBottom w:val="0"/>
      <w:divBdr>
        <w:top w:val="none" w:sz="0" w:space="0" w:color="auto"/>
        <w:left w:val="none" w:sz="0" w:space="0" w:color="auto"/>
        <w:bottom w:val="none" w:sz="0" w:space="0" w:color="auto"/>
        <w:right w:val="none" w:sz="0" w:space="0" w:color="auto"/>
      </w:divBdr>
    </w:div>
    <w:div w:id="2035423544">
      <w:bodyDiv w:val="1"/>
      <w:marLeft w:val="0"/>
      <w:marRight w:val="0"/>
      <w:marTop w:val="0"/>
      <w:marBottom w:val="0"/>
      <w:divBdr>
        <w:top w:val="none" w:sz="0" w:space="0" w:color="auto"/>
        <w:left w:val="none" w:sz="0" w:space="0" w:color="auto"/>
        <w:bottom w:val="none" w:sz="0" w:space="0" w:color="auto"/>
        <w:right w:val="none" w:sz="0" w:space="0" w:color="auto"/>
      </w:divBdr>
    </w:div>
    <w:div w:id="2036301232">
      <w:bodyDiv w:val="1"/>
      <w:marLeft w:val="0"/>
      <w:marRight w:val="0"/>
      <w:marTop w:val="0"/>
      <w:marBottom w:val="0"/>
      <w:divBdr>
        <w:top w:val="none" w:sz="0" w:space="0" w:color="auto"/>
        <w:left w:val="none" w:sz="0" w:space="0" w:color="auto"/>
        <w:bottom w:val="none" w:sz="0" w:space="0" w:color="auto"/>
        <w:right w:val="none" w:sz="0" w:space="0" w:color="auto"/>
      </w:divBdr>
    </w:div>
    <w:div w:id="2054232566">
      <w:bodyDiv w:val="1"/>
      <w:marLeft w:val="0"/>
      <w:marRight w:val="0"/>
      <w:marTop w:val="0"/>
      <w:marBottom w:val="0"/>
      <w:divBdr>
        <w:top w:val="none" w:sz="0" w:space="0" w:color="auto"/>
        <w:left w:val="none" w:sz="0" w:space="0" w:color="auto"/>
        <w:bottom w:val="none" w:sz="0" w:space="0" w:color="auto"/>
        <w:right w:val="none" w:sz="0" w:space="0" w:color="auto"/>
      </w:divBdr>
    </w:div>
    <w:div w:id="2080128076">
      <w:bodyDiv w:val="1"/>
      <w:marLeft w:val="0"/>
      <w:marRight w:val="0"/>
      <w:marTop w:val="0"/>
      <w:marBottom w:val="0"/>
      <w:divBdr>
        <w:top w:val="none" w:sz="0" w:space="0" w:color="auto"/>
        <w:left w:val="none" w:sz="0" w:space="0" w:color="auto"/>
        <w:bottom w:val="none" w:sz="0" w:space="0" w:color="auto"/>
        <w:right w:val="none" w:sz="0" w:space="0" w:color="auto"/>
      </w:divBdr>
    </w:div>
    <w:div w:id="2080248113">
      <w:bodyDiv w:val="1"/>
      <w:marLeft w:val="0"/>
      <w:marRight w:val="0"/>
      <w:marTop w:val="0"/>
      <w:marBottom w:val="0"/>
      <w:divBdr>
        <w:top w:val="none" w:sz="0" w:space="0" w:color="auto"/>
        <w:left w:val="none" w:sz="0" w:space="0" w:color="auto"/>
        <w:bottom w:val="none" w:sz="0" w:space="0" w:color="auto"/>
        <w:right w:val="none" w:sz="0" w:space="0" w:color="auto"/>
      </w:divBdr>
    </w:div>
    <w:div w:id="2097550727">
      <w:bodyDiv w:val="1"/>
      <w:marLeft w:val="0"/>
      <w:marRight w:val="0"/>
      <w:marTop w:val="0"/>
      <w:marBottom w:val="0"/>
      <w:divBdr>
        <w:top w:val="none" w:sz="0" w:space="0" w:color="auto"/>
        <w:left w:val="none" w:sz="0" w:space="0" w:color="auto"/>
        <w:bottom w:val="none" w:sz="0" w:space="0" w:color="auto"/>
        <w:right w:val="none" w:sz="0" w:space="0" w:color="auto"/>
      </w:divBdr>
      <w:divsChild>
        <w:div w:id="28723455">
          <w:marLeft w:val="0"/>
          <w:marRight w:val="0"/>
          <w:marTop w:val="0"/>
          <w:marBottom w:val="0"/>
          <w:divBdr>
            <w:top w:val="none" w:sz="0" w:space="0" w:color="auto"/>
            <w:left w:val="none" w:sz="0" w:space="0" w:color="auto"/>
            <w:bottom w:val="none" w:sz="0" w:space="0" w:color="auto"/>
            <w:right w:val="none" w:sz="0" w:space="0" w:color="auto"/>
          </w:divBdr>
          <w:divsChild>
            <w:div w:id="195062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41371">
      <w:bodyDiv w:val="1"/>
      <w:marLeft w:val="0"/>
      <w:marRight w:val="0"/>
      <w:marTop w:val="0"/>
      <w:marBottom w:val="0"/>
      <w:divBdr>
        <w:top w:val="none" w:sz="0" w:space="0" w:color="auto"/>
        <w:left w:val="none" w:sz="0" w:space="0" w:color="auto"/>
        <w:bottom w:val="none" w:sz="0" w:space="0" w:color="auto"/>
        <w:right w:val="none" w:sz="0" w:space="0" w:color="auto"/>
      </w:divBdr>
    </w:div>
    <w:div w:id="2121871424">
      <w:bodyDiv w:val="1"/>
      <w:marLeft w:val="0"/>
      <w:marRight w:val="0"/>
      <w:marTop w:val="0"/>
      <w:marBottom w:val="0"/>
      <w:divBdr>
        <w:top w:val="none" w:sz="0" w:space="0" w:color="auto"/>
        <w:left w:val="none" w:sz="0" w:space="0" w:color="auto"/>
        <w:bottom w:val="none" w:sz="0" w:space="0" w:color="auto"/>
        <w:right w:val="none" w:sz="0" w:space="0" w:color="auto"/>
      </w:divBdr>
      <w:divsChild>
        <w:div w:id="1117066868">
          <w:marLeft w:val="0"/>
          <w:marRight w:val="0"/>
          <w:marTop w:val="0"/>
          <w:marBottom w:val="0"/>
          <w:divBdr>
            <w:top w:val="none" w:sz="0" w:space="0" w:color="auto"/>
            <w:left w:val="none" w:sz="0" w:space="0" w:color="auto"/>
            <w:bottom w:val="none" w:sz="0" w:space="0" w:color="auto"/>
            <w:right w:val="none" w:sz="0" w:space="0" w:color="auto"/>
          </w:divBdr>
          <w:divsChild>
            <w:div w:id="16788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rafi3@gatech.edu"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g.com/en/trading-strategies/10-trading-indicators-every-trader-should-know-190604" TargetMode="Externa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2709</TotalTime>
  <Pages>11</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Umar Rafi</cp:lastModifiedBy>
  <cp:revision>111</cp:revision>
  <cp:lastPrinted>2019-05-10T20:56:00Z</cp:lastPrinted>
  <dcterms:created xsi:type="dcterms:W3CDTF">2025-07-05T03:56:00Z</dcterms:created>
  <dcterms:modified xsi:type="dcterms:W3CDTF">2025-07-20T17:50:00Z</dcterms:modified>
</cp:coreProperties>
</file>