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002060"/>
          <w:sz w:val="52"/>
          <w:szCs w:val="52"/>
        </w:rPr>
        <w:t xml:space="preserve">RNEF Analytics</w:t>
      </w:r>
    </w:p>
    <w:p>
      <w:pPr>
        <w:spacing w:after="200"/>
        <w:jc w:val="center"/>
      </w:pPr>
      <w:r>
        <w:rPr>
          <w:color w:val="64748B"/>
          <w:sz w:val="36"/>
          <w:szCs w:val="36"/>
        </w:rPr>
        <w:t xml:space="preserve">Backtesting Platform Guide</w:t>
      </w:r>
    </w:p>
    <w:p>
      <w:pPr>
        <w:spacing w:after="600"/>
        <w:jc w:val="center"/>
      </w:pPr>
      <w:r>
        <w:rPr>
          <w:color w:val="94A3B8"/>
          <w:sz w:val="24"/>
          <w:szCs w:val="24"/>
        </w:rPr>
        <w:t xml:space="preserve">Rice Renewable Energy Fund</w:t>
      </w:r>
    </w:p>
    <w:p>
      <w:pPr>
        <w:jc w:val="center"/>
      </w:pPr>
      <w:r>
        <w:rPr>
          <w:color w:val="94A3B8"/>
          <w:sz w:val="22"/>
          <w:szCs w:val="22"/>
        </w:rPr>
        <w:t xml:space="preserve">April 2026</w:t>
      </w:r>
    </w:p>
    <w:p>
      <w:r>
        <w:br w:type="page"/>
      </w:r>
    </w:p>
    <w:p>
      <w:pPr>
        <w:pStyle w:val="Heading1"/>
      </w:pPr>
      <w:r>
        <w:t xml:space="preserve">What This Tool Does</w:t>
      </w:r>
    </w:p>
    <w:p>
      <w:pPr>
        <w:spacing w:after="200"/>
      </w:pPr>
      <w:r>
        <w:t xml:space="preserve">The RNEF Analytics backtesting platform lets you test portfolio allocation strategies against historical price data. You select tickers, pick a strategy, set constraints, and the tool shows you how that allocation would have performed.</w:t>
      </w:r>
    </w:p>
    <w:p>
      <w:pPr>
        <w:pStyle w:val="Heading2"/>
      </w:pPr>
      <w:r>
        <w:t xml:space="preserve">Where It Helps</w:t>
      </w:r>
    </w:p>
    <w:p>
      <w:pPr>
        <w:pStyle w:val="ListParagraph"/>
        <w:numPr>
          <w:ilvl w:val="0"/>
          <w:numId w:val="2"/>
        </w:numPr>
      </w:pPr>
      <w:r>
        <w:rPr>
          <w:b/>
          <w:bCs/>
        </w:rPr>
        <w:t xml:space="preserve">Comparing strategies before committing</w:t>
      </w:r>
      <w:r>
        <w:t xml:space="preserve"> — e.g., should we equal-weight or tilt toward lower-vol names?</w:t>
      </w:r>
    </w:p>
    <w:p>
      <w:pPr>
        <w:pStyle w:val="ListParagraph"/>
        <w:numPr>
          <w:ilvl w:val="0"/>
          <w:numId w:val="2"/>
        </w:numPr>
      </w:pPr>
      <w:r>
        <w:rPr>
          <w:b/>
          <w:bCs/>
        </w:rPr>
        <w:t xml:space="preserve">Understanding risk</w:t>
      </w:r>
      <w:r>
        <w:t xml:space="preserve"> — see maximum drawdown and volatility before they happen</w:t>
      </w:r>
    </w:p>
    <w:p>
      <w:pPr>
        <w:pStyle w:val="ListParagraph"/>
        <w:numPr>
          <w:ilvl w:val="0"/>
          <w:numId w:val="2"/>
        </w:numPr>
      </w:pPr>
      <w:r>
        <w:rPr>
          <w:b/>
          <w:bCs/>
        </w:rPr>
        <w:t xml:space="preserve">Evaluating new tickers</w:t>
      </w:r>
      <w:r>
        <w:t xml:space="preserve"> — toggle tickers in and out to see how they change portfolio characteristics</w:t>
      </w:r>
    </w:p>
    <w:p>
      <w:pPr>
        <w:pStyle w:val="ListParagraph"/>
        <w:numPr>
          <w:ilvl w:val="0"/>
          <w:numId w:val="2"/>
        </w:numPr>
        <w:spacing w:after="200"/>
      </w:pPr>
      <w:r>
        <w:rPr>
          <w:b/>
          <w:bCs/>
        </w:rPr>
        <w:t xml:space="preserve">Stakeholder presentations</w:t>
      </w:r>
      <w:r>
        <w:t xml:space="preserve"> — show data-backed reasoning with equity curves and performance tables</w:t>
      </w:r>
    </w:p>
    <w:p>
      <w:r>
        <w:br w:type="page"/>
      </w:r>
    </w:p>
    <w:p>
      <w:pPr>
        <w:pStyle w:val="Heading1"/>
      </w:pPr>
      <w:r>
        <w:t xml:space="preserve">How to Run a Backtest</w:t>
      </w:r>
    </w:p>
    <w:p>
      <w:pPr>
        <w:pStyle w:val="Heading2"/>
      </w:pPr>
      <w:r>
        <w:t xml:space="preserve">Step 1: Configure Your Backtest</w:t>
      </w:r>
    </w:p>
    <w:p>
      <w:pPr>
        <w:spacing w:after="200"/>
      </w:pPr>
      <w:r>
        <w:t xml:space="preserve">Navigate to "New Backtest" in the left sidebar. You will see the configuration form.</w:t>
      </w:r>
    </w:p>
    <w:p>
      <w:pPr>
        <w:pStyle w:val="Heading3"/>
      </w:pPr>
      <w:r>
        <w:t xml:space="preserve">Strategy Selection</w:t>
      </w:r>
    </w:p>
    <w:p>
      <w:pPr>
        <w:spacing w:after="120"/>
      </w:pPr>
      <w:r>
        <w:t xml:space="preserve">Choose one of the five available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02060" w:val="clear"/>
            <w:tcMar>
              <w:top w:type="dxa" w:w="60"/>
              <w:left w:type="dxa" w:w="100"/>
              <w:bottom w:type="dxa" w:w="60"/>
              <w:right w:type="dxa" w:w="100"/>
            </w:tcMar>
          </w:tcPr>
          <w:p>
            <w:r>
              <w:rPr>
                <w:b/>
                <w:bCs/>
                <w:color w:val="FFFFFF"/>
                <w:sz w:val="20"/>
                <w:szCs w:val="20"/>
              </w:rPr>
              <w:t xml:space="preserve">Strategy</w:t>
            </w:r>
          </w:p>
        </w:tc>
        <w:tc>
          <w:tcPr>
            <w:tcW w:type="dxa" w:w="7160"/>
            <w:tcBorders>
              <w:top w:val="single" w:color="CCCCCC" w:sz="1"/>
              <w:left w:val="single" w:color="CCCCCC" w:sz="1"/>
              <w:bottom w:val="single" w:color="CCCCCC" w:sz="1"/>
              <w:right w:val="single" w:color="CCCCCC" w:sz="1"/>
            </w:tcBorders>
            <w:shd w:fill="002060" w:val="clear"/>
            <w:tcMar>
              <w:top w:type="dxa" w:w="60"/>
              <w:left w:type="dxa" w:w="100"/>
              <w:bottom w:type="dxa" w:w="60"/>
              <w:right w:type="dxa" w:w="100"/>
            </w:tcMar>
          </w:tcPr>
          <w:p>
            <w:r>
              <w:rPr>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Max Sharpe (MVO)</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Maximizes risk-adjusted return using mean-variance optimization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Min Volatility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Finds the least-volatile portfolio allocation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HRP</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Allocates more weight to lower-volatility assets (inverse-vol weighting)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VaR-Scaled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Positions sized inversely to each asset’s historical Value-at-Risk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20"/>
                <w:szCs w:val="20"/>
              </w:rPr>
              <w:t xml:space="preserve">Equal Weight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Simple 1/N benchmark — equal allocation across all assets</w:t>
            </w:r>
          </w:p>
        </w:tc>
      </w:tr>
    </w:tbl>
    <w:p>
      <w:pPr>
        <w:spacing w:before="200"/>
      </w:pPr>
    </w:p>
    <w:p>
      <w:pPr>
        <w:pStyle w:val="Heading3"/>
      </w:pPr>
      <w:r>
        <w:t xml:space="preserve">Ticker Universe</w:t>
      </w:r>
    </w:p>
    <w:p>
      <w:pPr>
        <w:spacing w:after="120"/>
      </w:pPr>
      <w:r>
        <w:t xml:space="preserve">Grey badges show your dashboard portfolio tickers. Click any ticker to toggle it off (it dims with a strikethrough). Use "Deselect all" / "Select all" to toggle the entire set. You can also add extra tickers using the input field — they appear as blue badges. At least 3 active tickers are required.</w:t>
      </w:r>
    </w:p>
    <w:p>
      <w:pPr>
        <w:pStyle w:val="Heading3"/>
      </w:pPr>
      <w:r>
        <w:t xml:space="preserve">Other Parameters</w:t>
      </w:r>
    </w:p>
    <w:p>
      <w:pPr>
        <w:pStyle w:val="ListParagraph"/>
        <w:numPr>
          <w:ilvl w:val="0"/>
          <w:numId w:val="2"/>
        </w:numPr>
      </w:pPr>
      <w:r>
        <w:rPr>
          <w:b/>
          <w:bCs/>
        </w:rPr>
        <w:t xml:space="preserve">Date Range:</w:t>
      </w:r>
      <w:r>
        <w:t xml:space="preserve"> defaults to fund inception through today</w:t>
      </w:r>
    </w:p>
    <w:p>
      <w:pPr>
        <w:pStyle w:val="ListParagraph"/>
        <w:numPr>
          <w:ilvl w:val="0"/>
          <w:numId w:val="2"/>
        </w:numPr>
      </w:pPr>
      <w:r>
        <w:rPr>
          <w:b/>
          <w:bCs/>
        </w:rPr>
        <w:t xml:space="preserve">Rebalancing Frequency:</w:t>
      </w:r>
      <w:r>
        <w:t xml:space="preserve"> monthly, quarterly, or annual</w:t>
      </w:r>
    </w:p>
    <w:p>
      <w:pPr>
        <w:pStyle w:val="ListParagraph"/>
        <w:numPr>
          <w:ilvl w:val="0"/>
          <w:numId w:val="2"/>
        </w:numPr>
      </w:pPr>
      <w:r>
        <w:rPr>
          <w:b/>
          <w:bCs/>
        </w:rPr>
        <w:t xml:space="preserve">Transaction Cost:</w:t>
      </w:r>
      <w:r>
        <w:t xml:space="preserve"> 0–50 basis points per trade</w:t>
      </w:r>
    </w:p>
    <w:p>
      <w:pPr>
        <w:pStyle w:val="ListParagraph"/>
        <w:numPr>
          <w:ilvl w:val="0"/>
          <w:numId w:val="2"/>
        </w:numPr>
      </w:pPr>
      <w:r>
        <w:rPr>
          <w:b/>
          <w:bCs/>
        </w:rPr>
        <w:t xml:space="preserve">Max Position Weight:</w:t>
      </w:r>
      <w:r>
        <w:t xml:space="preserve"> caps any single ticker at 10–60%</w:t>
      </w:r>
    </w:p>
    <w:p>
      <w:pPr>
        <w:pStyle w:val="ListParagraph"/>
        <w:numPr>
          <w:ilvl w:val="0"/>
          <w:numId w:val="2"/>
        </w:numPr>
        <w:spacing w:after="200"/>
      </w:pPr>
      <w:r>
        <w:rPr>
          <w:b/>
          <w:bCs/>
        </w:rPr>
        <w:t xml:space="preserve">Walk-Forward:</w:t>
      </w:r>
      <w:r>
        <w:t xml:space="preserve"> uses only data available up to each rebalance date (prevents look-ahead bias)</w:t>
      </w:r>
    </w:p>
    <w:p>
      <w:pPr>
        <w:pStyle w:val="Heading2"/>
      </w:pPr>
      <w:r>
        <w:t xml:space="preserve">Step 2: Run the Backtest</w:t>
      </w:r>
    </w:p>
    <w:p>
      <w:pPr>
        <w:spacing w:after="200"/>
      </w:pPr>
      <w:r>
        <w:t xml:space="preserve">Click the "Run Backtest" button at the bottom of the form. A progress bar will appear showing each stage: fetching price data, running the optimization, and fetching the benchmark comparison (ICLN). The backtest typically completes in 2–5 seconds.</w:t>
      </w:r>
    </w:p>
    <w:p>
      <w:pPr>
        <w:pStyle w:val="Heading2"/>
      </w:pPr>
      <w:r>
        <w:t xml:space="preserve">Step 3: View Results</w:t>
      </w:r>
    </w:p>
    <w:p>
      <w:pPr>
        <w:spacing w:after="200"/>
      </w:pPr>
      <w:r>
        <w:t xml:space="preserve">Once complete, a results card appears below the form. Click "View →" to open the detailed analysis page.</w:t>
      </w:r>
    </w:p>
    <w:p>
      <w:r>
        <w:br w:type="page"/>
      </w:r>
    </w:p>
    <w:p>
      <w:pPr>
        <w:pStyle w:val="Heading1"/>
      </w:pPr>
      <w:r>
        <w:t xml:space="preserve">Reading the Results</w:t>
      </w:r>
    </w:p>
    <w:p>
      <w:pPr>
        <w:pStyle w:val="Heading2"/>
      </w:pPr>
      <w:r>
        <w:t xml:space="preserve">KPI Summary Cards</w:t>
      </w:r>
    </w:p>
    <w:p>
      <w:pPr>
        <w:spacing w:after="200"/>
      </w:pPr>
      <w:r>
        <w:t xml:space="preserve">Four headline metrics at the top for the best-performing strategy: Best Sharpe Ratio (risk-adjusted return, higher is better), Best Ann. Return (annualized percentage return), Max Drawdown (worst peak-to-trough decline), and Calmar Ratio (annual return divided by max drawdown).</w:t>
      </w:r>
    </w:p>
    <w:p>
      <w:pPr>
        <w:pStyle w:val="Heading2"/>
      </w:pPr>
      <w:r>
        <w:t xml:space="preserve">Equity Curve</w:t>
      </w:r>
    </w:p>
    <w:p>
      <w:pPr>
        <w:spacing w:after="200"/>
      </w:pPr>
      <w:r>
        <w:t xml:space="preserve">Shows how $100 invested at inception would have grown over time. Your strategy line is solid; the dashed orange line is the ICLN clean energy ETF benchmark. Hover over any point to see the exact date and value.</w:t>
      </w:r>
    </w:p>
    <w:p>
      <w:pPr>
        <w:pStyle w:val="Heading2"/>
      </w:pPr>
      <w:r>
        <w:t xml:space="preserve">Drawdown Chart</w:t>
      </w:r>
    </w:p>
    <w:p>
      <w:pPr>
        <w:spacing w:after="200"/>
      </w:pPr>
      <w:r>
        <w:t xml:space="preserve">A red-shaded area chart showing how far the portfolio fell from its peak at any point. The deeper the red, the worse the drawdown. This helps you understand worst-case scenarios and recovery times.</w:t>
      </w:r>
    </w:p>
    <w:p>
      <w:pPr>
        <w:pStyle w:val="Heading2"/>
      </w:pPr>
      <w:r>
        <w:t xml:space="preserve">Strategy Summary Statistics</w:t>
      </w:r>
    </w:p>
    <w:p>
      <w:pPr>
        <w:spacing w:after="120"/>
      </w:pPr>
      <w:r>
        <w:t xml:space="preserve">A table comparing all tested strategies across these columns:</w:t>
      </w:r>
    </w:p>
    <w:p>
      <w:pPr>
        <w:pStyle w:val="ListParagraph"/>
        <w:numPr>
          <w:ilvl w:val="0"/>
          <w:numId w:val="2"/>
        </w:numPr>
      </w:pPr>
      <w:r>
        <w:rPr>
          <w:b/>
          <w:bCs/>
        </w:rPr>
        <w:t xml:space="preserve">Ann. Return:</w:t>
      </w:r>
      <w:r>
        <w:t xml:space="preserve"> annualized percentage return (green if positive, red if negative)</w:t>
      </w:r>
    </w:p>
    <w:p>
      <w:pPr>
        <w:pStyle w:val="ListParagraph"/>
        <w:numPr>
          <w:ilvl w:val="0"/>
          <w:numId w:val="2"/>
        </w:numPr>
      </w:pPr>
      <w:r>
        <w:rPr>
          <w:b/>
          <w:bCs/>
        </w:rPr>
        <w:t xml:space="preserve">Ann. Vol:</w:t>
      </w:r>
      <w:r>
        <w:t xml:space="preserve"> annualized volatility (standard deviation of returns)</w:t>
      </w:r>
    </w:p>
    <w:p>
      <w:pPr>
        <w:pStyle w:val="ListParagraph"/>
        <w:numPr>
          <w:ilvl w:val="0"/>
          <w:numId w:val="2"/>
        </w:numPr>
      </w:pPr>
      <w:r>
        <w:rPr>
          <w:b/>
          <w:bCs/>
        </w:rPr>
        <w:t xml:space="preserve">Sharpe:</w:t>
      </w:r>
      <w:r>
        <w:t xml:space="preserve"> return per unit of risk</w:t>
      </w:r>
    </w:p>
    <w:p>
      <w:pPr>
        <w:pStyle w:val="ListParagraph"/>
        <w:numPr>
          <w:ilvl w:val="0"/>
          <w:numId w:val="2"/>
        </w:numPr>
      </w:pPr>
      <w:r>
        <w:rPr>
          <w:b/>
          <w:bCs/>
        </w:rPr>
        <w:t xml:space="preserve">Max DD:</w:t>
      </w:r>
      <w:r>
        <w:t xml:space="preserve"> maximum drawdown percentage</w:t>
      </w:r>
    </w:p>
    <w:p>
      <w:pPr>
        <w:pStyle w:val="ListParagraph"/>
        <w:numPr>
          <w:ilvl w:val="0"/>
          <w:numId w:val="2"/>
        </w:numPr>
      </w:pPr>
      <w:r>
        <w:rPr>
          <w:b/>
          <w:bCs/>
        </w:rPr>
        <w:t xml:space="preserve">Calmar:</w:t>
      </w:r>
      <w:r>
        <w:t xml:space="preserve"> annual return / max drawdown</w:t>
      </w:r>
    </w:p>
    <w:p>
      <w:pPr>
        <w:pStyle w:val="ListParagraph"/>
        <w:numPr>
          <w:ilvl w:val="0"/>
          <w:numId w:val="2"/>
        </w:numPr>
        <w:spacing w:after="200"/>
      </w:pPr>
      <w:r>
        <w:rPr>
          <w:b/>
          <w:bCs/>
        </w:rPr>
        <w:t xml:space="preserve">Turnover:</w:t>
      </w:r>
      <w:r>
        <w:t xml:space="preserve"> how much the portfolio differs from equal-weight</w:t>
      </w:r>
    </w:p>
    <w:p>
      <w:pPr>
        <w:pStyle w:val="Heading2"/>
      </w:pPr>
      <w:r>
        <w:t xml:space="preserve">Holdings Breakdown</w:t>
      </w:r>
    </w:p>
    <w:p>
      <w:pPr>
        <w:spacing w:after="200"/>
      </w:pPr>
      <w:r>
        <w:t xml:space="preserve">A table showing the weight, last price, and estimated share count for each ticker in the best strategy. You can change the "Portfolio size" input (default $100,000) to recalculate the number of shares for each position.</w:t>
      </w:r>
    </w:p>
    <w:p>
      <w:pPr>
        <w:pStyle w:val="Heading2"/>
      </w:pPr>
      <w:r>
        <w:t xml:space="preserve">Monthly Returns Heatmap</w:t>
      </w:r>
    </w:p>
    <w:p>
      <w:pPr>
        <w:spacing w:after="200"/>
      </w:pPr>
      <w:r>
        <w:t xml:space="preserve">A color-coded grid showing monthly performance. Green cells = positive months, red cells = negative months. Each row is a year (Jan–Dec) with a YTD column on the right.</w:t>
      </w:r>
    </w:p>
    <w:p>
      <w:r>
        <w:br w:type="page"/>
      </w:r>
    </w:p>
    <w:p>
      <w:pPr>
        <w:pStyle w:val="Heading1"/>
      </w:pPr>
      <w:r>
        <w:t xml:space="preserve">Viewing Past Results</w:t>
      </w:r>
    </w:p>
    <w:p>
      <w:pPr>
        <w:spacing w:after="200"/>
      </w:pPr>
      <w:r>
        <w:t xml:space="preserve">Click "Results" in the left sidebar to see all previous backtests saved in your browser. Each card shows the strategy used, date range, transaction cost, rebalancing frequency, and best Sharpe ratio. Click "View →" to reopen the full analysis.</w:t>
      </w:r>
    </w:p>
    <w:p>
      <w:pPr>
        <w:spacing w:after="200"/>
      </w:pPr>
      <w:r>
        <w:rPr>
          <w:b/>
          <w:bCs/>
        </w:rPr>
        <w:t xml:space="preserve">Note: </w:t>
      </w:r>
      <w:r>
        <w:t xml:space="preserve">Results are stored in your browser’s local storage. Clearing browser data or switching to a different browser/device will remove them.</w:t>
      </w:r>
    </w:p>
    <w:p>
      <w:r>
        <w:br w:type="page"/>
      </w:r>
    </w:p>
    <w:p>
      <w:pPr>
        <w:pStyle w:val="Heading1"/>
      </w:pPr>
      <w:r>
        <w:t xml:space="preserve">What This Tool Is Not For</w:t>
      </w:r>
    </w:p>
    <w:p>
      <w:pPr>
        <w:spacing w:after="200"/>
      </w:pPr>
      <w:r>
        <w:t xml:space="preserve">This backtesting tool is designed for historical analysis and strategy comparison. It should not be used as a sole basis for investment decisions. Key limitations:</w:t>
      </w:r>
    </w:p>
    <w:p>
      <w:pPr>
        <w:pStyle w:val="ListParagraph"/>
        <w:numPr>
          <w:ilvl w:val="0"/>
          <w:numId w:val="2"/>
        </w:numPr>
      </w:pPr>
      <w:r>
        <w:rPr>
          <w:b/>
          <w:bCs/>
        </w:rPr>
        <w:t xml:space="preserve">Not a forward-looking predictor.</w:t>
      </w:r>
      <w:r>
        <w:t xml:space="preserve"> Past performance does not indicate future results, especially in clean energy where policy changes (IRA, tariffs) can shift the market overnight.</w:t>
      </w:r>
    </w:p>
    <w:p>
      <w:pPr>
        <w:pStyle w:val="ListParagraph"/>
        <w:numPr>
          <w:ilvl w:val="0"/>
          <w:numId w:val="2"/>
        </w:numPr>
      </w:pPr>
      <w:r>
        <w:rPr>
          <w:b/>
          <w:bCs/>
        </w:rPr>
        <w:t xml:space="preserve">No factor or attribution analysis.</w:t>
      </w:r>
      <w:r>
        <w:t xml:space="preserve"> It tells you what happened, not why. You cannot see how much return came from market beta vs. clean-energy alpha vs. individual stock picks.</w:t>
      </w:r>
    </w:p>
    <w:p>
      <w:pPr>
        <w:pStyle w:val="ListParagraph"/>
        <w:numPr>
          <w:ilvl w:val="0"/>
          <w:numId w:val="2"/>
        </w:numPr>
      </w:pPr>
      <w:r>
        <w:rPr>
          <w:b/>
          <w:bCs/>
        </w:rPr>
        <w:t xml:space="preserve">No scenario or stress testing.</w:t>
      </w:r>
      <w:r>
        <w:t xml:space="preserve"> You cannot model hypothetical events (rate hikes, subsidy removal, oil price shocks).</w:t>
      </w:r>
    </w:p>
    <w:p>
      <w:pPr>
        <w:pStyle w:val="ListParagraph"/>
        <w:numPr>
          <w:ilvl w:val="0"/>
          <w:numId w:val="2"/>
        </w:numPr>
      </w:pPr>
      <w:r>
        <w:rPr>
          <w:b/>
          <w:bCs/>
        </w:rPr>
        <w:t xml:space="preserve">Simplified cost model.</w:t>
      </w:r>
      <w:r>
        <w:t xml:space="preserve"> Transaction costs are modeled as flat basis points. Real costs include market impact, bid-ask spreads, and slippage that scale with position size.</w:t>
      </w:r>
    </w:p>
    <w:p>
      <w:pPr>
        <w:pStyle w:val="ListParagraph"/>
        <w:numPr>
          <w:ilvl w:val="0"/>
          <w:numId w:val="2"/>
        </w:numPr>
      </w:pPr>
      <w:r>
        <w:rPr>
          <w:b/>
          <w:bCs/>
        </w:rPr>
        <w:t xml:space="preserve">Small universe effects.</w:t>
      </w:r>
      <w:r>
        <w:t xml:space="preserve"> With only 10 stocks, optimizer results can be noisy. Small changes in inputs can lead to large changes in weights.</w:t>
      </w:r>
    </w:p>
    <w:p>
      <w:pPr>
        <w:pStyle w:val="ListParagraph"/>
        <w:numPr>
          <w:ilvl w:val="0"/>
          <w:numId w:val="2"/>
        </w:numPr>
        <w:spacing w:after="200"/>
      </w:pPr>
      <w:r>
        <w:rPr>
          <w:b/>
          <w:bCs/>
        </w:rPr>
        <w:t xml:space="preserve">Browser-local storage only.</w:t>
      </w:r>
      <w:r>
        <w:t xml:space="preserve"> Results are saved in your browser. They do not sync across devices or team members.</w:t>
      </w:r>
    </w:p>
    <w:p>
      <w:pPr>
        <w:spacing w:before="200"/>
      </w:pPr>
      <w:r>
        <w:rPr>
          <w:i/>
          <w:iCs/>
          <w:color w:val="64748B"/>
        </w:rPr>
        <w:t xml:space="preserve">Use this tool alongside your existing research process, not as a replacement for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206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2026-04-12T18:33:45.042Z</dcterms:created>
  <dcterms:modified xsi:type="dcterms:W3CDTF">2026-04-12T18:33:45.042Z</dcterms:modified>
</cp:coreProperties>
</file>

<file path=docProps/custom.xml><?xml version="1.0" encoding="utf-8"?>
<Properties xmlns="http://schemas.openxmlformats.org/officeDocument/2006/custom-properties" xmlns:vt="http://schemas.openxmlformats.org/officeDocument/2006/docPropsVTypes"/>
</file>