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bookmarkStart w:id="0" w:name="_GoBack"/>
      <w:bookmarkEnd w:id="0"/>
      <w:r>
        <w:rPr>
          <w:rFonts w:ascii="Malgun Gothic" w:eastAsia="Malgun Gothic" w:cs="Malgun Gothic"/>
          <w:sz w:val="20"/>
          <w:szCs w:val="20"/>
          <w:lang w:val="ko"/>
        </w:rPr>
        <w:t>2.1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5.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T is a linear transformation.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bases for N(T) : none(empty set)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bases for R(T) : x, x^2+1, x^3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nullity of T : 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rank of T : 3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verify dimension theorem : 0+3=3=dim(P_2(R))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one-to-one : yes since the nullity is 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onto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since the codomain is larger in dimension and R(T) has at most the degree of the dimension of the domain, it is impossible to be onto.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14.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(a)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let S={v1, v2, ..., vn} be a linearly independent subset of V.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if a1T(v1)+a2T(v2)+...+anT(vn)=0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T(a1v1+a2v2+...+</w:t>
      </w:r>
      <w:r>
        <w:rPr>
          <w:rFonts w:ascii="Malgun Gothic" w:eastAsia="Malgun Gothic" w:cs="Malgun Gothic"/>
          <w:sz w:val="20"/>
          <w:szCs w:val="20"/>
          <w:lang w:val="ko"/>
        </w:rPr>
        <w:t>anvn)=0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so since T is one-to-one,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a1=a2=...=an=0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if T(x)=0 and x is not 0.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then T(x)=0 and it cannot be linearly independent with other vectors.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lastRenderedPageBreak/>
        <w:t>contrapositive is true.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 xml:space="preserve">(b) 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if S is linearly independent,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if a1v1+a2v2+...+anvn=0 then a1=a2=...=an=0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a1v1+a2</w:t>
      </w:r>
      <w:r>
        <w:rPr>
          <w:rFonts w:ascii="Malgun Gothic" w:eastAsia="Malgun Gothic" w:cs="Malgun Gothic"/>
          <w:sz w:val="20"/>
          <w:szCs w:val="20"/>
          <w:lang w:val="ko"/>
        </w:rPr>
        <w:t xml:space="preserve">v2+...+anvn=0 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&lt;=&gt;T(a1v1+a2v2+...+anvn)=0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&lt;=&gt;a1T(v1)+a2T(v2)+...+anT(vn)=0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T(S) is linearly independent.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if T(S) is linearly independent, if a1T(v1)+a2T(v2)+...+anT(vn)=0,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a1=a2=...=an=0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a1T(v1)+a2T(v2)+...+anT(vn)=T(a1v1+a2v2+...+anvn)=0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cs="Malgun Gothic"/>
          <w:sz w:val="20"/>
          <w:szCs w:val="20"/>
          <w:lang w:val="ko"/>
        </w:rPr>
      </w:pPr>
      <w:r>
        <w:rPr>
          <w:rFonts w:ascii="Malgun Gothic" w:eastAsia="Malgun Gothic" w:cs="Malgun Gothic"/>
          <w:sz w:val="20"/>
          <w:szCs w:val="20"/>
          <w:lang w:val="ko"/>
        </w:rPr>
        <w:t>&lt;=&gt;a1v1+a2v2+...+anvn=0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-KR"/>
        </w:rPr>
      </w:pPr>
      <w:r>
        <w:rPr>
          <w:rFonts w:ascii="Malgun Gothic" w:eastAsia="Malgun Gothic" w:cs="Malgun Gothic"/>
          <w:sz w:val="20"/>
          <w:szCs w:val="20"/>
          <w:lang w:val="ko"/>
        </w:rPr>
        <w:t>(c) span(T(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)) is generates the range of T.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-KR"/>
        </w:rPr>
        <w:t>however since the range of the T is W and T(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) is linearly independent, it is the basis of W.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15.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 w:hint="eastAsia"/>
          <w:noProof/>
          <w:sz w:val="20"/>
          <w:szCs w:val="20"/>
        </w:rPr>
        <w:drawing>
          <wp:inline distT="0" distB="0" distL="0" distR="0">
            <wp:extent cx="54864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20.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let v1, v2 members of V1.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T(0)=0 so T(V1) has 0 as a member.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aT(v1)+T(v2)=T(av1+v2) so T(V1) is closed in addition and multiplication.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so T(V1) is a subspace of W.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let x1, x2 members of the given set {x</w:t>
      </w:r>
      <w:r>
        <w:rPr>
          <w:rFonts w:ascii="Malgun Gothic" w:eastAsia="Malgun Gothic" w:hAnsi="Calibri" w:cs="Malgun Gothic" w:hint="eastAsia"/>
          <w:sz w:val="20"/>
          <w:szCs w:val="20"/>
          <w:lang w:val="ko"/>
        </w:rPr>
        <w:t>∈</w:t>
      </w:r>
      <w:r>
        <w:rPr>
          <w:rFonts w:ascii="Malgun Gothic" w:eastAsia="Malgun Gothic" w:hAnsi="Calibri" w:cs="Malgun Gothic"/>
          <w:sz w:val="20"/>
          <w:szCs w:val="20"/>
          <w:lang w:val="ko"/>
        </w:rPr>
        <w:t>V:T(x)</w:t>
      </w:r>
      <w:r>
        <w:rPr>
          <w:rFonts w:ascii="Malgun Gothic" w:eastAsia="Malgun Gothic" w:hAnsi="Calibri" w:cs="Malgun Gothic" w:hint="eastAsia"/>
          <w:sz w:val="20"/>
          <w:szCs w:val="20"/>
          <w:lang w:val="ko"/>
        </w:rPr>
        <w:t>∈</w:t>
      </w:r>
      <w:r>
        <w:rPr>
          <w:rFonts w:ascii="Malgun Gothic" w:eastAsia="Malgun Gothic" w:hAnsi="Calibri" w:cs="Malgun Gothic"/>
          <w:sz w:val="20"/>
          <w:szCs w:val="20"/>
          <w:lang w:val="ko"/>
        </w:rPr>
        <w:t>W1}.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T(0)</w:t>
      </w:r>
      <w:r>
        <w:rPr>
          <w:rFonts w:ascii="Malgun Gothic" w:eastAsia="Malgun Gothic" w:hAnsi="Calibri" w:cs="Malgun Gothic" w:hint="eastAsia"/>
          <w:sz w:val="20"/>
          <w:szCs w:val="20"/>
          <w:lang w:val="ko"/>
        </w:rPr>
        <w:t>∈</w:t>
      </w:r>
      <w:r>
        <w:rPr>
          <w:rFonts w:ascii="Malgun Gothic" w:eastAsia="Malgun Gothic" w:hAnsi="Calibri" w:cs="Malgun Gothic"/>
          <w:sz w:val="20"/>
          <w:szCs w:val="20"/>
          <w:lang w:val="ko"/>
        </w:rPr>
        <w:t>W1 so 0</w:t>
      </w:r>
      <w:r>
        <w:rPr>
          <w:rFonts w:ascii="Malgun Gothic" w:eastAsia="Malgun Gothic" w:hAnsi="Calibri" w:cs="Malgun Gothic" w:hint="eastAsia"/>
          <w:sz w:val="20"/>
          <w:szCs w:val="20"/>
          <w:lang w:val="ko"/>
        </w:rPr>
        <w:t>∈</w:t>
      </w:r>
      <w:r>
        <w:rPr>
          <w:rFonts w:ascii="Malgun Gothic" w:eastAsia="Malgun Gothic" w:hAnsi="Calibri" w:cs="Malgun Gothic"/>
          <w:sz w:val="20"/>
          <w:szCs w:val="20"/>
          <w:lang w:val="ko"/>
        </w:rPr>
        <w:t>V so the set has 0 as a member.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since T(x1), T(x2) are members of W1 and W1 is a subspace,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aT(x1)+T(x2)=T(ax1+x2)</w:t>
      </w:r>
      <w:r>
        <w:rPr>
          <w:rFonts w:ascii="Malgun Gothic" w:eastAsia="Malgun Gothic" w:hAnsi="Calibri" w:cs="Malgun Gothic" w:hint="eastAsia"/>
          <w:sz w:val="20"/>
          <w:szCs w:val="20"/>
          <w:lang w:val="ko"/>
        </w:rPr>
        <w:t>∈</w:t>
      </w:r>
      <w:r>
        <w:rPr>
          <w:rFonts w:ascii="Malgun Gothic" w:eastAsia="Malgun Gothic" w:hAnsi="Calibri" w:cs="Malgun Gothic"/>
          <w:sz w:val="20"/>
          <w:szCs w:val="20"/>
          <w:lang w:val="ko"/>
        </w:rPr>
        <w:t>W1 so ax1+x2 is a member of the set.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so the set is a subspace of V.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2.2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3.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 w:hint="eastAsia"/>
          <w:noProof/>
          <w:sz w:val="20"/>
          <w:szCs w:val="20"/>
        </w:rPr>
        <w:drawing>
          <wp:inline distT="0" distB="0" distL="0" distR="0">
            <wp:extent cx="41910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8.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40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 w:hint="eastAsia"/>
          <w:noProof/>
          <w:sz w:val="20"/>
          <w:szCs w:val="20"/>
        </w:rPr>
        <w:drawing>
          <wp:inline distT="0" distB="0" distL="0" distR="0">
            <wp:extent cx="50482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</w:p>
    <w:p w:rsidR="00000000" w:rsidRDefault="0097027E">
      <w:pPr>
        <w:widowControl w:val="0"/>
        <w:autoSpaceDE w:val="0"/>
        <w:autoSpaceDN w:val="0"/>
        <w:adjustRightInd w:val="0"/>
        <w:spacing w:after="200" w:line="276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>16.</w:t>
      </w:r>
    </w:p>
    <w:p w:rsidR="00000000" w:rsidRDefault="0097027E">
      <w:pPr>
        <w:widowControl w:val="0"/>
        <w:autoSpaceDE w:val="0"/>
        <w:autoSpaceDN w:val="0"/>
        <w:adjustRightInd w:val="0"/>
        <w:spacing w:after="200" w:line="480" w:lineRule="auto"/>
        <w:rPr>
          <w:rFonts w:ascii="Malgun Gothic" w:eastAsia="Malgun Gothic" w:hAnsi="Calibri" w:cs="Malgun Gothic"/>
          <w:sz w:val="20"/>
          <w:szCs w:val="20"/>
          <w:lang w:val="ko"/>
        </w:rPr>
      </w:pPr>
      <w:r>
        <w:rPr>
          <w:rFonts w:ascii="Malgun Gothic" w:eastAsia="Malgun Gothic" w:hAnsi="Calibri" w:cs="Malgun Gothic"/>
          <w:sz w:val="20"/>
          <w:szCs w:val="20"/>
          <w:lang w:val="ko"/>
        </w:rPr>
        <w:t xml:space="preserve">let 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bases for the nullspace A={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1, </w:t>
      </w:r>
      <w:r>
        <w:rPr>
          <w:rFonts w:ascii="Calibri" w:eastAsia="Malgun Gothic" w:hAnsi="Calibri" w:cs="Calibri"/>
          <w:sz w:val="20"/>
          <w:szCs w:val="20"/>
          <w:lang w:val="ko-KR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2, ..., </w:t>
      </w:r>
      <w:r>
        <w:rPr>
          <w:rFonts w:ascii="Calibri" w:eastAsia="Malgun Gothic" w:hAnsi="Calibri" w:cs="Calibri"/>
          <w:sz w:val="20"/>
          <w:szCs w:val="20"/>
          <w:lang w:val="ko-KR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k}. there exists 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={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1, </w:t>
      </w:r>
      <w:r>
        <w:rPr>
          <w:rFonts w:ascii="Calibri" w:eastAsia="Malgun Gothic" w:hAnsi="Calibri" w:cs="Calibri"/>
          <w:sz w:val="20"/>
          <w:szCs w:val="20"/>
          <w:lang w:val="ko-KR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2, ..., </w:t>
      </w:r>
      <w:r>
        <w:rPr>
          <w:rFonts w:ascii="Calibri" w:eastAsia="Malgun Gothic" w:hAnsi="Calibri" w:cs="Calibri"/>
          <w:sz w:val="20"/>
          <w:szCs w:val="20"/>
          <w:lang w:val="ko-KR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n} an extension from A and let this be the ordered bases for V. T(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i)=0 where 1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k. let 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i=T(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i) (1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n). {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k+1, 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k+2, ...,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n} is linearly independent as in the proof of dimension theorem. let 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={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k+1, 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k+2, ...,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n} be the ordered bases for R(T). then the matrix representation of T in the ordered bases </w:t>
      </w:r>
      <w:r>
        <w:rPr>
          <w:rFonts w:ascii="Calibri" w:eastAsia="Malgun Gothic" w:hAnsi="Calibri" w:cs="Calibri"/>
          <w:sz w:val="20"/>
          <w:szCs w:val="20"/>
          <w:lang w:val="ko"/>
        </w:rPr>
        <w:t>β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 and </w:t>
      </w:r>
      <w:r>
        <w:rPr>
          <w:rFonts w:ascii="Calibri" w:eastAsia="Malgun Gothic" w:hAnsi="Calibri" w:cs="Calibri"/>
          <w:sz w:val="20"/>
          <w:szCs w:val="20"/>
          <w:lang w:val="ko-KR"/>
        </w:rPr>
        <w:t>γ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 xml:space="preserve"> is a diagonal matrix D where dij=0 (i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≠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j), dii=0 (1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k), dii=1 (k+1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i</w:t>
      </w:r>
      <w:r>
        <w:rPr>
          <w:rFonts w:ascii="Malgun Gothic" w:eastAsia="Malgun Gothic" w:hAnsi="Calibri" w:cs="Malgun Gothic" w:hint="eastAsia"/>
          <w:sz w:val="20"/>
          <w:szCs w:val="20"/>
          <w:lang w:val="ko-KR"/>
        </w:rPr>
        <w:t>≤</w:t>
      </w:r>
      <w:r>
        <w:rPr>
          <w:rFonts w:ascii="Malgun Gothic" w:eastAsia="Malgun Gothic" w:hAnsi="Calibri" w:cs="Malgun Gothic"/>
          <w:sz w:val="20"/>
          <w:szCs w:val="20"/>
          <w:lang w:val="ko-KR"/>
        </w:rPr>
        <w:t>n)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027E"/>
    <w:rsid w:val="009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B76303F-218F-4E66-87BA-7C575A5A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4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2020-09-25T16:08:00Z</dcterms:created>
  <dcterms:modified xsi:type="dcterms:W3CDTF">2020-09-25T16:08:00Z</dcterms:modified>
</cp:coreProperties>
</file>