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E2761"/>
          <w:sz w:val="44"/>
          <w:szCs w:val="44"/>
        </w:rPr>
        <w:t xml:space="preserve">AERIAL OBJECT DETECTION USING YOLO11n</w:t>
      </w:r>
    </w:p>
    <w:p>
      <w:pPr>
        <w:spacing w:after="500"/>
        <w:jc w:val="center"/>
      </w:pPr>
      <w:r>
        <w:rPr>
          <w:b/>
          <w:bCs/>
          <w:color w:val="1E2761"/>
          <w:sz w:val="44"/>
          <w:szCs w:val="44"/>
        </w:rPr>
        <w:t xml:space="preserve">ON THE VISDRONE2019 BENCHMARK</w:t>
      </w:r>
    </w:p>
    <w:p>
      <w:pPr>
        <w:spacing w:after="900"/>
        <w:jc w:val="center"/>
      </w:pPr>
      <w:r>
        <w:rPr>
          <w:i/>
          <w:iCs/>
          <w:color w:val="5B6B8C"/>
          <w:sz w:val="26"/>
          <w:szCs w:val="26"/>
        </w:rPr>
        <w:t xml:space="preserve">Semester Project Report</w:t>
      </w:r>
    </w:p>
    <w:p>
      <w:pPr>
        <w:spacing w:after="100"/>
        <w:jc w:val="center"/>
      </w:pPr>
      <w:r>
        <w:rPr>
          <w:color w:val="1A1A2E"/>
          <w:sz w:val="24"/>
          <w:szCs w:val="24"/>
        </w:rPr>
        <w:t xml:space="preserve">CSC354 — Machine Learning</w:t>
      </w:r>
    </w:p>
    <w:p>
      <w:pPr>
        <w:spacing w:after="2000"/>
        <w:jc w:val="center"/>
      </w:pPr>
      <w:r>
        <w:rPr>
          <w:color w:val="1A1A2E"/>
          <w:sz w:val="24"/>
          <w:szCs w:val="24"/>
        </w:rPr>
        <w:t xml:space="preserve">Department of Computer Science</w:t>
      </w:r>
    </w:p>
    <w:p>
      <w:pPr>
        <w:spacing w:after="80"/>
        <w:jc w:val="center"/>
      </w:pPr>
      <w:r>
        <w:rPr>
          <w:color w:val="1A1A2E"/>
          <w:sz w:val="22"/>
          <w:szCs w:val="22"/>
        </w:rPr>
        <w:t xml:space="preserve">Submitted by: Uzair</w:t>
      </w:r>
    </w:p>
    <w:p>
      <w:pPr>
        <w:spacing w:after="80"/>
        <w:jc w:val="center"/>
      </w:pPr>
      <w:r>
        <w:rPr>
          <w:color w:val="1A1A2E"/>
          <w:sz w:val="22"/>
          <w:szCs w:val="22"/>
        </w:rPr>
        <w:t xml:space="preserve">COMSATS University Islamabad, Abbottabad Campus</w:t>
      </w:r>
    </w:p>
    <w:p>
      <w:pPr>
        <w:jc w:val="center"/>
      </w:pPr>
      <w:r>
        <w:rPr>
          <w:color w:val="5B6B8C"/>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E2761"/>
          <w:sz w:val="30"/>
          <w:szCs w:val="30"/>
        </w:rPr>
        <w:t xml:space="preserve">Abstract</w:t>
      </w:r>
    </w:p>
    <w:p>
      <w:pPr>
        <w:spacing w:after="160" w:line="300"/>
      </w:pPr>
      <w:r>
        <w:rPr>
          <w:color w:val="1A1A2E"/>
          <w:sz w:val="22"/>
          <w:szCs w:val="22"/>
        </w:rPr>
        <w:t xml:space="preserve">Object detection from unmanned aerial vehicle (UAV) imagery presents challenges distinct from ground-level computer vision: targets are frequently tiny, densely packed, and heavily occluded. This project fine-tunes YOLO11n, a single-stage anchor-free detector, on the VisDrone2019-DET benchmark to detect ten categories of pedestrians and vehicles in aerial scenes. The model was trained for 100 epochs on a Google Colab T4 GPU (4.84 GPU-hours) and evaluated using mAP@50, mAP@50-95, precision, recall, F1-score, and inference speed (FPS). The trained model achieved an mAP@50 of 32.4%, mAP@50-95 of 18.4%, precision of 44.9%, recall of 34.7%, an F1-score of 39.1%, and real-time inference at 65.0 FPS. Per-class analysis shows strong performance on large, common classes such as car (75.0% AP@50) and weak performance on rare, small classes such as bicycle (8.5% AP@50) and awning-tricycle (10.5% AP@50), highlighting the combined effect of class imbalance and object scale on detection quality. As a novelty contribution, Slicing Aided Hyper Inference (SAHI) was integrated at inference time to improve recall on small objects by running detection over overlapping image tiles; the quantitative standard-versus-SAHI comparison is reported as a remaining evaluation step. The project demonstrates a complete, reproducible detection pipeline together with an honest, metric-driven analysis of where the model succeeds and where it does not.</w:t>
      </w:r>
    </w:p>
    <w:p>
      <w:r>
        <w:br w:type="page"/>
      </w:r>
    </w:p>
    <w:p>
      <w:pPr>
        <w:pStyle w:val="Heading1"/>
        <w:spacing w:after="160" w:before="360"/>
      </w:pPr>
      <w:r>
        <w:rPr>
          <w:b/>
          <w:bCs/>
          <w:color w:val="1E2761"/>
          <w:sz w:val="30"/>
          <w:szCs w:val="30"/>
        </w:rPr>
        <w:t xml:space="preserve">Table of Contents</w:t>
      </w:r>
    </w:p>
    <w:p>
      <w:pPr>
        <w:spacing w:after="160" w:line="300"/>
      </w:pPr>
      <w:r>
        <w:rPr>
          <w:color w:val="1A1A2E"/>
          <w:sz w:val="22"/>
          <w:szCs w:val="22"/>
        </w:rPr>
        <w:t xml:space="preserve">1. Introduction ......................................................... 4</w:t>
      </w:r>
    </w:p>
    <w:p>
      <w:pPr>
        <w:spacing w:after="160" w:line="300"/>
      </w:pPr>
      <w:r>
        <w:rPr>
          <w:color w:val="1A1A2E"/>
          <w:sz w:val="22"/>
          <w:szCs w:val="22"/>
        </w:rPr>
        <w:t xml:space="preserve">   1.1 Motivation</w:t>
      </w:r>
    </w:p>
    <w:p>
      <w:pPr>
        <w:spacing w:after="160" w:line="300"/>
      </w:pPr>
      <w:r>
        <w:rPr>
          <w:color w:val="1A1A2E"/>
          <w:sz w:val="22"/>
          <w:szCs w:val="22"/>
        </w:rPr>
        <w:t xml:space="preserve">   1.2 Problem Statement</w:t>
      </w:r>
    </w:p>
    <w:p>
      <w:pPr>
        <w:spacing w:after="160" w:line="300"/>
      </w:pPr>
      <w:r>
        <w:rPr>
          <w:color w:val="1A1A2E"/>
          <w:sz w:val="22"/>
          <w:szCs w:val="22"/>
        </w:rPr>
        <w:t xml:space="preserve">   1.3 Objectives</w:t>
      </w:r>
    </w:p>
    <w:p>
      <w:pPr>
        <w:spacing w:after="160" w:line="300"/>
      </w:pPr>
      <w:r>
        <w:rPr>
          <w:color w:val="1A1A2E"/>
          <w:sz w:val="22"/>
          <w:szCs w:val="22"/>
        </w:rPr>
        <w:t xml:space="preserve">2. Related Work ......................................................... 4</w:t>
      </w:r>
    </w:p>
    <w:p>
      <w:pPr>
        <w:spacing w:after="160" w:line="300"/>
      </w:pPr>
      <w:r>
        <w:rPr>
          <w:color w:val="1A1A2E"/>
          <w:sz w:val="22"/>
          <w:szCs w:val="22"/>
        </w:rPr>
        <w:t xml:space="preserve">3. Dataset ......................................................... 5</w:t>
      </w:r>
    </w:p>
    <w:p>
      <w:pPr>
        <w:spacing w:after="160" w:line="300"/>
      </w:pPr>
      <w:r>
        <w:rPr>
          <w:color w:val="1A1A2E"/>
          <w:sz w:val="22"/>
          <w:szCs w:val="22"/>
        </w:rPr>
        <w:t xml:space="preserve">4. Methodology ......................................................... 5</w:t>
      </w:r>
    </w:p>
    <w:p>
      <w:pPr>
        <w:spacing w:after="160" w:line="300"/>
      </w:pPr>
      <w:r>
        <w:rPr>
          <w:color w:val="1A1A2E"/>
          <w:sz w:val="22"/>
          <w:szCs w:val="22"/>
        </w:rPr>
        <w:t xml:space="preserve">   4.1 Pipeline Overview</w:t>
      </w:r>
    </w:p>
    <w:p>
      <w:pPr>
        <w:spacing w:after="160" w:line="300"/>
      </w:pPr>
      <w:r>
        <w:rPr>
          <w:color w:val="1A1A2E"/>
          <w:sz w:val="22"/>
          <w:szCs w:val="22"/>
        </w:rPr>
        <w:t xml:space="preserve">   4.2 Model Architecture</w:t>
      </w:r>
    </w:p>
    <w:p>
      <w:pPr>
        <w:spacing w:after="160" w:line="300"/>
      </w:pPr>
      <w:r>
        <w:rPr>
          <w:color w:val="1A1A2E"/>
          <w:sz w:val="22"/>
          <w:szCs w:val="22"/>
        </w:rPr>
        <w:t xml:space="preserve">   4.3 Training Configuration</w:t>
      </w:r>
    </w:p>
    <w:p>
      <w:pPr>
        <w:spacing w:after="160" w:line="300"/>
      </w:pPr>
      <w:r>
        <w:rPr>
          <w:color w:val="1A1A2E"/>
          <w:sz w:val="22"/>
          <w:szCs w:val="22"/>
        </w:rPr>
        <w:t xml:space="preserve">   4.4 Evaluation Metrics</w:t>
      </w:r>
    </w:p>
    <w:p>
      <w:pPr>
        <w:spacing w:after="160" w:line="300"/>
      </w:pPr>
      <w:r>
        <w:rPr>
          <w:color w:val="1A1A2E"/>
          <w:sz w:val="22"/>
          <w:szCs w:val="22"/>
        </w:rPr>
        <w:t xml:space="preserve">5. Results and Discussion ......................................................... 7</w:t>
      </w:r>
    </w:p>
    <w:p>
      <w:pPr>
        <w:spacing w:after="160" w:line="300"/>
      </w:pPr>
      <w:r>
        <w:rPr>
          <w:color w:val="1A1A2E"/>
          <w:sz w:val="22"/>
          <w:szCs w:val="22"/>
        </w:rPr>
        <w:t xml:space="preserve">   5.1 Overall Performance</w:t>
      </w:r>
    </w:p>
    <w:p>
      <w:pPr>
        <w:spacing w:after="160" w:line="300"/>
      </w:pPr>
      <w:r>
        <w:rPr>
          <w:color w:val="1A1A2E"/>
          <w:sz w:val="22"/>
          <w:szCs w:val="22"/>
        </w:rPr>
        <w:t xml:space="preserve">   5.2 Per-Class Performance</w:t>
      </w:r>
    </w:p>
    <w:p>
      <w:pPr>
        <w:spacing w:after="160" w:line="300"/>
      </w:pPr>
      <w:r>
        <w:rPr>
          <w:color w:val="1A1A2E"/>
          <w:sz w:val="22"/>
          <w:szCs w:val="22"/>
        </w:rPr>
        <w:t xml:space="preserve">   5.3 Inference Speed</w:t>
      </w:r>
    </w:p>
    <w:p>
      <w:pPr>
        <w:spacing w:after="160" w:line="300"/>
      </w:pPr>
      <w:r>
        <w:rPr>
          <w:color w:val="1A1A2E"/>
          <w:sz w:val="22"/>
          <w:szCs w:val="22"/>
        </w:rPr>
        <w:t xml:space="preserve">6. Novelty: SAHI-Based Small-Object Enhancement ......................................................... 8</w:t>
      </w:r>
    </w:p>
    <w:p>
      <w:pPr>
        <w:spacing w:after="160" w:line="300"/>
      </w:pPr>
      <w:r>
        <w:rPr>
          <w:color w:val="1A1A2E"/>
          <w:sz w:val="22"/>
          <w:szCs w:val="22"/>
        </w:rPr>
        <w:t xml:space="preserve">7. Challenges and Solutions ......................................................... 9</w:t>
      </w:r>
    </w:p>
    <w:p>
      <w:pPr>
        <w:spacing w:after="160" w:line="300"/>
      </w:pPr>
      <w:r>
        <w:rPr>
          <w:color w:val="1A1A2E"/>
          <w:sz w:val="22"/>
          <w:szCs w:val="22"/>
        </w:rPr>
        <w:t xml:space="preserve">8. Conclusion and Future Work ......................................................... 9</w:t>
      </w:r>
    </w:p>
    <w:p>
      <w:pPr>
        <w:spacing w:after="160" w:line="300"/>
      </w:pPr>
      <w:r>
        <w:rPr>
          <w:color w:val="1A1A2E"/>
          <w:sz w:val="22"/>
          <w:szCs w:val="22"/>
        </w:rPr>
        <w:t xml:space="preserve">   8.1 Future Work</w:t>
      </w:r>
    </w:p>
    <w:p>
      <w:pPr>
        <w:spacing w:after="160" w:line="300"/>
      </w:pPr>
      <w:r>
        <w:rPr>
          <w:color w:val="1A1A2E"/>
          <w:sz w:val="22"/>
          <w:szCs w:val="22"/>
        </w:rPr>
        <w:t xml:space="preserve">References ......................................................... 9</w:t>
      </w:r>
    </w:p>
    <w:p>
      <w:r>
        <w:br w:type="page"/>
      </w:r>
    </w:p>
    <w:p>
      <w:pPr>
        <w:pStyle w:val="Heading1"/>
        <w:spacing w:after="160" w:before="360"/>
      </w:pPr>
      <w:r>
        <w:rPr>
          <w:b/>
          <w:bCs/>
          <w:color w:val="1E2761"/>
          <w:sz w:val="30"/>
          <w:szCs w:val="30"/>
        </w:rPr>
        <w:t xml:space="preserve">1. Introduction</w:t>
      </w:r>
    </w:p>
    <w:p>
      <w:pPr>
        <w:pStyle w:val="Heading2"/>
        <w:spacing w:after="120" w:before="260"/>
      </w:pPr>
      <w:r>
        <w:rPr>
          <w:b/>
          <w:bCs/>
          <w:color w:val="1E2761"/>
          <w:sz w:val="24"/>
          <w:szCs w:val="24"/>
        </w:rPr>
        <w:t xml:space="preserve">1.1 Motivation</w:t>
      </w:r>
    </w:p>
    <w:p>
      <w:pPr>
        <w:spacing w:after="160" w:line="300"/>
      </w:pPr>
      <w:r>
        <w:rPr>
          <w:color w:val="1A1A2E"/>
          <w:sz w:val="22"/>
          <w:szCs w:val="22"/>
        </w:rPr>
        <w:t xml:space="preserve">Aerial imagery captured by drones is increasingly used for traffic monitoring, crowd safety analysis, disaster response, and infrastructure inspection. These applications depend on object detectors that can reliably identify people and vehicles from an elevated, wide-angle viewpoint. Detectors trained on ground-level datasets such as COCO, where objects typically occupy a substantial fraction of the frame, do not transfer well to this setting: aerial objects can occupy well under one percent of the frame area and appear in extremely dense clusters.</w:t>
      </w:r>
    </w:p>
    <w:p>
      <w:pPr>
        <w:pStyle w:val="Heading2"/>
        <w:spacing w:after="120" w:before="260"/>
      </w:pPr>
      <w:r>
        <w:rPr>
          <w:b/>
          <w:bCs/>
          <w:color w:val="1E2761"/>
          <w:sz w:val="24"/>
          <w:szCs w:val="24"/>
        </w:rPr>
        <w:t xml:space="preserve">1.2 Problem Statement</w:t>
      </w:r>
    </w:p>
    <w:p>
      <w:pPr>
        <w:spacing w:after="160" w:line="300"/>
      </w:pPr>
      <w:r>
        <w:rPr>
          <w:color w:val="1A1A2E"/>
          <w:sz w:val="22"/>
          <w:szCs w:val="22"/>
        </w:rPr>
        <w:t xml:space="preserve">Standard object detection pipelines underperform on aerial imagery due to three compounding factors: small object scale, high object density, and frequent occlusion. This project addresses the problem of training and rigorously evaluating a detector specifically for this domain, using the VisDrone2019-DET benchmark as the evaluation standard.</w:t>
      </w:r>
    </w:p>
    <w:p>
      <w:pPr>
        <w:pStyle w:val="Heading2"/>
        <w:spacing w:after="120" w:before="260"/>
      </w:pPr>
      <w:r>
        <w:rPr>
          <w:b/>
          <w:bCs/>
          <w:color w:val="1E2761"/>
          <w:sz w:val="24"/>
          <w:szCs w:val="24"/>
        </w:rPr>
        <w:t xml:space="preserve">1.3 Objectives</w:t>
      </w:r>
    </w:p>
    <w:p>
      <w:pPr>
        <w:pStyle w:val="ListParagraph"/>
        <w:numPr>
          <w:ilvl w:val="0"/>
          <w:numId w:val="2"/>
        </w:numPr>
        <w:spacing w:after="90"/>
      </w:pPr>
      <w:r>
        <w:rPr>
          <w:color w:val="1A1A2E"/>
          <w:sz w:val="22"/>
          <w:szCs w:val="22"/>
        </w:rPr>
        <w:t xml:space="preserve">Fine-tune YOLO11n on VisDrone2019-DET across all ten annotated object categories.</w:t>
      </w:r>
    </w:p>
    <w:p>
      <w:pPr>
        <w:pStyle w:val="ListParagraph"/>
        <w:numPr>
          <w:ilvl w:val="0"/>
          <w:numId w:val="2"/>
        </w:numPr>
        <w:spacing w:after="90"/>
      </w:pPr>
      <w:r>
        <w:rPr>
          <w:color w:val="1A1A2E"/>
          <w:sz w:val="22"/>
          <w:szCs w:val="22"/>
        </w:rPr>
        <w:t xml:space="preserve">Evaluate the trained model using a full metric suite: mAP@50, mAP@50-95, precision, recall, F1-score, and FPS.</w:t>
      </w:r>
    </w:p>
    <w:p>
      <w:pPr>
        <w:pStyle w:val="ListParagraph"/>
        <w:numPr>
          <w:ilvl w:val="0"/>
          <w:numId w:val="2"/>
        </w:numPr>
        <w:spacing w:after="90"/>
      </w:pPr>
      <w:r>
        <w:rPr>
          <w:color w:val="1A1A2E"/>
          <w:sz w:val="22"/>
          <w:szCs w:val="22"/>
        </w:rPr>
        <w:t xml:space="preserve">Analyze per-class performance to identify and explain systematic weaknesses.</w:t>
      </w:r>
    </w:p>
    <w:p>
      <w:pPr>
        <w:pStyle w:val="ListParagraph"/>
        <w:numPr>
          <w:ilvl w:val="0"/>
          <w:numId w:val="2"/>
        </w:numPr>
        <w:spacing w:after="90"/>
      </w:pPr>
      <w:r>
        <w:rPr>
          <w:color w:val="1A1A2E"/>
          <w:sz w:val="22"/>
          <w:szCs w:val="22"/>
        </w:rPr>
        <w:t xml:space="preserve">Integrate SAHI tiled inference as a targeted enhancement for small-object recall.</w:t>
      </w:r>
    </w:p>
    <w:p>
      <w:pPr>
        <w:pStyle w:val="Heading1"/>
        <w:spacing w:after="160" w:before="360"/>
      </w:pPr>
      <w:r>
        <w:rPr>
          <w:b/>
          <w:bCs/>
          <w:color w:val="1E2761"/>
          <w:sz w:val="30"/>
          <w:szCs w:val="30"/>
        </w:rPr>
        <w:t xml:space="preserve">2. Related Work</w:t>
      </w:r>
    </w:p>
    <w:p>
      <w:pPr>
        <w:spacing w:after="160" w:line="300"/>
      </w:pPr>
      <w:r>
        <w:rPr>
          <w:color w:val="1A1A2E"/>
          <w:sz w:val="22"/>
          <w:szCs w:val="22"/>
        </w:rPr>
        <w:t xml:space="preserve">Object detectors are broadly categorized as two-stage (e.g. Faster R-CNN), which first propose candidate regions and then classify them, and single-stage (e.g. the YOLO family, SSD), which predict class and location directly from feature maps in one pass. Single-stage detectors trade a small amount of accuracy for substantially faster inference, making them well suited to applications where real-time throughput matters, such as UAV video processing. The YOLO family has evolved through successive anchor-based and, more recently, anchor-free designs; this project uses YOLO11n, the nano-scale variant of the Ultralytics YOLO11 release, selected for its favorable accuracy-to-speed ratio on constrained hardware such as a free-tier Colab GPU.</w:t>
      </w:r>
    </w:p>
    <w:p>
      <w:pPr>
        <w:spacing w:after="160" w:line="300"/>
      </w:pPr>
      <w:r>
        <w:rPr>
          <w:color w:val="1A1A2E"/>
          <w:sz w:val="22"/>
          <w:szCs w:val="22"/>
        </w:rPr>
        <w:t xml:space="preserve">Small object detection remains a known weakness of general-purpose detectors, since downsampling to a fixed input resolution disproportionately degrades small targets. Slicing Aided Hyper Inference (SAHI) addresses this at inference time by partitioning the full image into overlapping tiles, running detection on each tile at full resolution, and merging results with non-maximum suppression, without requiring any change to model training.</w:t>
      </w:r>
    </w:p>
    <w:p>
      <w:pPr>
        <w:pStyle w:val="Heading1"/>
        <w:spacing w:after="160" w:before="360"/>
      </w:pPr>
      <w:r>
        <w:rPr>
          <w:b/>
          <w:bCs/>
          <w:color w:val="1E2761"/>
          <w:sz w:val="30"/>
          <w:szCs w:val="30"/>
        </w:rPr>
        <w:t xml:space="preserve">3. Dataset</w:t>
      </w:r>
    </w:p>
    <w:p>
      <w:pPr>
        <w:spacing w:after="160" w:line="300"/>
      </w:pPr>
      <w:r>
        <w:rPr>
          <w:color w:val="1A1A2E"/>
          <w:sz w:val="22"/>
          <w:szCs w:val="22"/>
        </w:rPr>
        <w:t xml:space="preserve">VisDrone2019-DET, collected by the AISKYEYE team at Tianjin University, consists of drone-captured images across multiple Chinese cities under varied weather, lighting, and altitude conditions. The benchmark officially defines ten object categories, including a distinction between “pedestrian” (standing or walking posture) and “people” (any other posture).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300"/>
      </w:tblGrid>
      <w:tr>
        <w:trPr>
          <w:tblHeader/>
        </w:trPr>
        <w:tc>
          <w:tcPr>
            <w:tcW w:type="dxa" w:w="3000"/>
            <w:shd w:fill="1E2761" w:val="clear"/>
            <w:tcMar>
              <w:top w:type="dxa" w:w="100"/>
              <w:left w:type="dxa" w:w="120"/>
              <w:bottom w:type="dxa" w:w="100"/>
              <w:right w:type="dxa" w:w="120"/>
            </w:tcMar>
            <w:vAlign w:val="center"/>
          </w:tcPr>
          <w:p>
            <w:r>
              <w:rPr>
                <w:b/>
                <w:bCs/>
                <w:color w:val="FFFFFF"/>
                <w:sz w:val="21"/>
                <w:szCs w:val="21"/>
              </w:rPr>
              <w:t xml:space="preserve">Split</w:t>
            </w:r>
          </w:p>
        </w:tc>
        <w:tc>
          <w:tcPr>
            <w:tcW w:type="dxa" w:w="2500"/>
            <w:shd w:fill="1E2761" w:val="clear"/>
            <w:tcMar>
              <w:top w:type="dxa" w:w="100"/>
              <w:left w:type="dxa" w:w="120"/>
              <w:bottom w:type="dxa" w:w="100"/>
              <w:right w:type="dxa" w:w="120"/>
            </w:tcMar>
            <w:vAlign w:val="center"/>
          </w:tcPr>
          <w:p>
            <w:r>
              <w:rPr>
                <w:b/>
                <w:bCs/>
                <w:color w:val="FFFFFF"/>
                <w:sz w:val="21"/>
                <w:szCs w:val="21"/>
              </w:rPr>
              <w:t xml:space="preserve">Images</w:t>
            </w:r>
          </w:p>
        </w:tc>
        <w:tc>
          <w:tcPr>
            <w:tcW w:type="dxa" w:w="4300"/>
            <w:shd w:fill="1E2761" w:val="clear"/>
            <w:tcMar>
              <w:top w:type="dxa" w:w="100"/>
              <w:left w:type="dxa" w:w="120"/>
              <w:bottom w:type="dxa" w:w="100"/>
              <w:right w:type="dxa" w:w="120"/>
            </w:tcMar>
            <w:vAlign w:val="center"/>
          </w:tcPr>
          <w:p>
            <w:r>
              <w:rPr>
                <w:b/>
                <w:bCs/>
                <w:color w:val="FFFFFF"/>
                <w:sz w:val="21"/>
                <w:szCs w:val="21"/>
              </w:rPr>
              <w:t xml:space="preserve">Notes</w:t>
            </w:r>
          </w:p>
        </w:tc>
      </w:tr>
      <w:tr>
        <w:tc>
          <w:tcPr>
            <w:tcW w:type="dxa" w:w="3000"/>
            <w:shd w:fill="FFFFFF" w:val="clear"/>
            <w:tcMar>
              <w:top w:type="dxa" w:w="100"/>
              <w:left w:type="dxa" w:w="120"/>
              <w:bottom w:type="dxa" w:w="100"/>
              <w:right w:type="dxa" w:w="120"/>
            </w:tcMar>
            <w:vAlign w:val="center"/>
          </w:tcPr>
          <w:p>
            <w:r>
              <w:rPr>
                <w:b w:val="false"/>
                <w:bCs w:val="false"/>
                <w:color w:val="1A1A2E"/>
                <w:sz w:val="21"/>
                <w:szCs w:val="21"/>
              </w:rPr>
              <w:t xml:space="preserve">Train</w:t>
            </w:r>
          </w:p>
        </w:tc>
        <w:tc>
          <w:tcPr>
            <w:tcW w:type="dxa" w:w="2500"/>
            <w:shd w:fill="FFFFFF" w:val="clear"/>
            <w:tcMar>
              <w:top w:type="dxa" w:w="100"/>
              <w:left w:type="dxa" w:w="120"/>
              <w:bottom w:type="dxa" w:w="100"/>
              <w:right w:type="dxa" w:w="120"/>
            </w:tcMar>
            <w:vAlign w:val="center"/>
          </w:tcPr>
          <w:p>
            <w:r>
              <w:rPr>
                <w:b w:val="false"/>
                <w:bCs w:val="false"/>
                <w:color w:val="1A1A2E"/>
                <w:sz w:val="21"/>
                <w:szCs w:val="21"/>
              </w:rPr>
              <w:t xml:space="preserve">6,471</w:t>
            </w:r>
          </w:p>
        </w:tc>
        <w:tc>
          <w:tcPr>
            <w:tcW w:type="dxa" w:w="4300"/>
            <w:shd w:fill="FFFFFF" w:val="clear"/>
            <w:tcMar>
              <w:top w:type="dxa" w:w="100"/>
              <w:left w:type="dxa" w:w="120"/>
              <w:bottom w:type="dxa" w:w="100"/>
              <w:right w:type="dxa" w:w="120"/>
            </w:tcMar>
            <w:vAlign w:val="center"/>
          </w:tcPr>
          <w:p>
            <w:r>
              <w:rPr>
                <w:b w:val="false"/>
                <w:bCs w:val="false"/>
                <w:color w:val="1A1A2E"/>
                <w:sz w:val="21"/>
                <w:szCs w:val="21"/>
              </w:rPr>
              <w:t xml:space="preserve">Used for model fine-tuning</w:t>
            </w:r>
          </w:p>
        </w:tc>
      </w:tr>
      <w:tr>
        <w:tc>
          <w:tcPr>
            <w:tcW w:type="dxa" w:w="3000"/>
            <w:shd w:fill="F0F5FC" w:val="clear"/>
            <w:tcMar>
              <w:top w:type="dxa" w:w="100"/>
              <w:left w:type="dxa" w:w="120"/>
              <w:bottom w:type="dxa" w:w="100"/>
              <w:right w:type="dxa" w:w="120"/>
            </w:tcMar>
            <w:vAlign w:val="center"/>
          </w:tcPr>
          <w:p>
            <w:r>
              <w:rPr>
                <w:b w:val="false"/>
                <w:bCs w:val="false"/>
                <w:color w:val="1A1A2E"/>
                <w:sz w:val="21"/>
                <w:szCs w:val="21"/>
              </w:rPr>
              <w:t xml:space="preserve">Validation</w:t>
            </w:r>
          </w:p>
        </w:tc>
        <w:tc>
          <w:tcPr>
            <w:tcW w:type="dxa" w:w="2500"/>
            <w:shd w:fill="F0F5FC" w:val="clear"/>
            <w:tcMar>
              <w:top w:type="dxa" w:w="100"/>
              <w:left w:type="dxa" w:w="120"/>
              <w:bottom w:type="dxa" w:w="100"/>
              <w:right w:type="dxa" w:w="120"/>
            </w:tcMar>
            <w:vAlign w:val="center"/>
          </w:tcPr>
          <w:p>
            <w:r>
              <w:rPr>
                <w:b w:val="false"/>
                <w:bCs w:val="false"/>
                <w:color w:val="1A1A2E"/>
                <w:sz w:val="21"/>
                <w:szCs w:val="21"/>
              </w:rPr>
              <w:t xml:space="preserve">548</w:t>
            </w:r>
          </w:p>
        </w:tc>
        <w:tc>
          <w:tcPr>
            <w:tcW w:type="dxa" w:w="4300"/>
            <w:shd w:fill="F0F5FC" w:val="clear"/>
            <w:tcMar>
              <w:top w:type="dxa" w:w="100"/>
              <w:left w:type="dxa" w:w="120"/>
              <w:bottom w:type="dxa" w:w="100"/>
              <w:right w:type="dxa" w:w="120"/>
            </w:tcMar>
            <w:vAlign w:val="center"/>
          </w:tcPr>
          <w:p>
            <w:r>
              <w:rPr>
                <w:b w:val="false"/>
                <w:bCs w:val="false"/>
                <w:color w:val="1A1A2E"/>
                <w:sz w:val="21"/>
                <w:szCs w:val="21"/>
              </w:rPr>
              <w:t xml:space="preserve">38,759 labeled instances; used for all reported metrics</w:t>
            </w:r>
          </w:p>
        </w:tc>
      </w:tr>
      <w:tr>
        <w:tc>
          <w:tcPr>
            <w:tcW w:type="dxa" w:w="3000"/>
            <w:shd w:fill="FFFFFF" w:val="clear"/>
            <w:tcMar>
              <w:top w:type="dxa" w:w="100"/>
              <w:left w:type="dxa" w:w="120"/>
              <w:bottom w:type="dxa" w:w="100"/>
              <w:right w:type="dxa" w:w="120"/>
            </w:tcMar>
            <w:vAlign w:val="center"/>
          </w:tcPr>
          <w:p>
            <w:r>
              <w:rPr>
                <w:b w:val="false"/>
                <w:bCs w:val="false"/>
                <w:color w:val="1A1A2E"/>
                <w:sz w:val="21"/>
                <w:szCs w:val="21"/>
              </w:rPr>
              <w:t xml:space="preserve">Test-dev</w:t>
            </w:r>
          </w:p>
        </w:tc>
        <w:tc>
          <w:tcPr>
            <w:tcW w:type="dxa" w:w="2500"/>
            <w:shd w:fill="FFFFFF" w:val="clear"/>
            <w:tcMar>
              <w:top w:type="dxa" w:w="100"/>
              <w:left w:type="dxa" w:w="120"/>
              <w:bottom w:type="dxa" w:w="100"/>
              <w:right w:type="dxa" w:w="120"/>
            </w:tcMar>
            <w:vAlign w:val="center"/>
          </w:tcPr>
          <w:p>
            <w:r>
              <w:rPr>
                <w:b w:val="false"/>
                <w:bCs w:val="false"/>
                <w:color w:val="1A1A2E"/>
                <w:sz w:val="21"/>
                <w:szCs w:val="21"/>
              </w:rPr>
              <w:t xml:space="preserve">1,610</w:t>
            </w:r>
          </w:p>
        </w:tc>
        <w:tc>
          <w:tcPr>
            <w:tcW w:type="dxa" w:w="4300"/>
            <w:shd w:fill="FFFFFF" w:val="clear"/>
            <w:tcMar>
              <w:top w:type="dxa" w:w="100"/>
              <w:left w:type="dxa" w:w="120"/>
              <w:bottom w:type="dxa" w:w="100"/>
              <w:right w:type="dxa" w:w="120"/>
            </w:tcMar>
            <w:vAlign w:val="center"/>
          </w:tcPr>
          <w:p>
            <w:r>
              <w:rPr>
                <w:b w:val="false"/>
                <w:bCs w:val="false"/>
                <w:color w:val="1A1A2E"/>
                <w:sz w:val="21"/>
                <w:szCs w:val="21"/>
              </w:rPr>
              <w:t xml:space="preserve">Held out; not used in this project's reported results</w:t>
            </w:r>
          </w:p>
        </w:tc>
      </w:tr>
    </w:tbl>
    <w:p>
      <w:pPr>
        <w:spacing w:after="240" w:before="80"/>
        <w:jc w:val="center"/>
      </w:pPr>
      <w:r>
        <w:rPr>
          <w:i/>
          <w:iCs/>
          <w:color w:val="5B6B8C"/>
          <w:sz w:val="18"/>
          <w:szCs w:val="18"/>
        </w:rPr>
        <w:t xml:space="preserve">Table 1: VisDrone2019-DET dataset splits.</w:t>
      </w:r>
    </w:p>
    <w:p>
      <w:pPr>
        <w:spacing w:after="160" w:line="300"/>
      </w:pPr>
      <w:r>
        <w:rPr>
          <w:color w:val="1A1A2E"/>
          <w:sz w:val="22"/>
          <w:szCs w:val="22"/>
        </w:rPr>
        <w:t xml:space="preserve">The validation split alone contains 38,759 labeled object instances across 548 images — an average of roughly 70 objects per image — illustrating the density that distinguishes this benchmark from typical ground-level datasets. The ten classes are: pedestrian, people, bicycle, car, van, truck, tricycle, awning-tricycle, bus, and motor.</w:t>
      </w:r>
    </w:p>
    <w:p>
      <w:pPr>
        <w:pStyle w:val="Heading1"/>
        <w:spacing w:after="160" w:before="360"/>
      </w:pPr>
      <w:r>
        <w:rPr>
          <w:b/>
          <w:bCs/>
          <w:color w:val="1E2761"/>
          <w:sz w:val="30"/>
          <w:szCs w:val="30"/>
        </w:rPr>
        <w:t xml:space="preserve">4. Methodology</w:t>
      </w:r>
    </w:p>
    <w:p>
      <w:pPr>
        <w:pStyle w:val="Heading2"/>
        <w:spacing w:after="120" w:before="260"/>
      </w:pPr>
      <w:r>
        <w:rPr>
          <w:b/>
          <w:bCs/>
          <w:color w:val="1E2761"/>
          <w:sz w:val="24"/>
          <w:szCs w:val="24"/>
        </w:rPr>
        <w:t xml:space="preserve">4.1 Pipeline Overview</w:t>
      </w:r>
    </w:p>
    <w:p>
      <w:pPr>
        <w:pStyle w:val="ListParagraph"/>
        <w:numPr>
          <w:ilvl w:val="0"/>
          <w:numId w:val="2"/>
        </w:numPr>
        <w:spacing w:after="90"/>
      </w:pPr>
      <w:r>
        <w:rPr>
          <w:color w:val="1A1A2E"/>
          <w:sz w:val="22"/>
          <w:szCs w:val="22"/>
        </w:rPr>
        <w:t xml:space="preserve">Dataset preparation — automatic download and YOLO-format annotation conversion via Ultralytics' built-in VisDrone.yaml configuration.</w:t>
      </w:r>
    </w:p>
    <w:p>
      <w:pPr>
        <w:pStyle w:val="ListParagraph"/>
        <w:numPr>
          <w:ilvl w:val="0"/>
          <w:numId w:val="2"/>
        </w:numPr>
        <w:spacing w:after="90"/>
      </w:pPr>
      <w:r>
        <w:rPr>
          <w:color w:val="1A1A2E"/>
          <w:sz w:val="22"/>
          <w:szCs w:val="22"/>
        </w:rPr>
        <w:t xml:space="preserve">Model training — fine-tuning YOLO11n from COCO-pretrained weights.</w:t>
      </w:r>
    </w:p>
    <w:p>
      <w:pPr>
        <w:pStyle w:val="ListParagraph"/>
        <w:numPr>
          <w:ilvl w:val="0"/>
          <w:numId w:val="2"/>
        </w:numPr>
        <w:spacing w:after="90"/>
      </w:pPr>
      <w:r>
        <w:rPr>
          <w:color w:val="1A1A2E"/>
          <w:sz w:val="22"/>
          <w:szCs w:val="22"/>
        </w:rPr>
        <w:t xml:space="preserve">Evaluation — computing mAP, precision, recall, F1-score, and FPS on the validation split.</w:t>
      </w:r>
    </w:p>
    <w:p>
      <w:pPr>
        <w:pStyle w:val="ListParagraph"/>
        <w:numPr>
          <w:ilvl w:val="0"/>
          <w:numId w:val="2"/>
        </w:numPr>
        <w:spacing w:after="90"/>
      </w:pPr>
      <w:r>
        <w:rPr>
          <w:color w:val="1A1A2E"/>
          <w:sz w:val="22"/>
          <w:szCs w:val="22"/>
        </w:rPr>
        <w:t xml:space="preserve">SAHI enhancement — applying tiled inference at prediction time to the trained weights, without retraining.</w:t>
      </w:r>
    </w:p>
    <w:p>
      <w:pPr>
        <w:pStyle w:val="ListParagraph"/>
        <w:numPr>
          <w:ilvl w:val="0"/>
          <w:numId w:val="2"/>
        </w:numPr>
        <w:spacing w:after="90"/>
      </w:pPr>
      <w:r>
        <w:rPr>
          <w:color w:val="1A1A2E"/>
          <w:sz w:val="22"/>
          <w:szCs w:val="22"/>
        </w:rPr>
        <w:t xml:space="preserve">Comparative analysis — examining per-class results and the standard-vs-SAHI accuracy/speed tradeoff.</w:t>
      </w:r>
    </w:p>
    <w:p>
      <w:pPr>
        <w:pStyle w:val="Heading2"/>
        <w:spacing w:after="120" w:before="260"/>
      </w:pPr>
      <w:r>
        <w:rPr>
          <w:b/>
          <w:bCs/>
          <w:color w:val="1E2761"/>
          <w:sz w:val="24"/>
          <w:szCs w:val="24"/>
        </w:rPr>
        <w:t xml:space="preserve">4.2 Model Architecture</w:t>
      </w:r>
    </w:p>
    <w:p>
      <w:pPr>
        <w:spacing w:after="160" w:line="300"/>
      </w:pPr>
      <w:r>
        <w:rPr>
          <w:color w:val="1A1A2E"/>
          <w:sz w:val="22"/>
          <w:szCs w:val="22"/>
        </w:rPr>
        <w:t xml:space="preserve">YOLO11n is a single-stage, anchor-free object detector. It predicts object classes and bounding boxes directly from convolutional feature maps in a single forward pass, avoiding the separate region-proposal stage used by two-stage detectors, which is what enables its real-time inference speed. The architecture follows a backbone → neck → head structure: the backbone extracts features at multiple scales; the neck fuses those multi-scale features so that objects of different sizes are represented at an appropriate resolution; the head then produces final class and bounding-box predictions. The “nano” (n) variant, the smallest in the YOLO11 family by parameter count, was chosen deliberately to fit within Google Colab's free-tier GPU memory and session-time constraints while still providing a valid accuracy baseline. Training initialized from COCO-pretrained weights rather than random initialization, applying transfer learning to the VisDrone domain.</w:t>
      </w:r>
    </w:p>
    <w:p>
      <w:pPr>
        <w:pStyle w:val="Heading2"/>
        <w:spacing w:after="120" w:before="260"/>
      </w:pPr>
      <w:r>
        <w:rPr>
          <w:b/>
          <w:bCs/>
          <w:color w:val="1E2761"/>
          <w:sz w:val="24"/>
          <w:szCs w:val="24"/>
        </w:rPr>
        <w:t xml:space="preserve">4.3 Training Configuration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E2761" w:val="clear"/>
            <w:tcMar>
              <w:top w:type="dxa" w:w="100"/>
              <w:left w:type="dxa" w:w="120"/>
              <w:bottom w:type="dxa" w:w="100"/>
              <w:right w:type="dxa" w:w="120"/>
            </w:tcMar>
            <w:vAlign w:val="center"/>
          </w:tcPr>
          <w:p>
            <w:r>
              <w:rPr>
                <w:b/>
                <w:bCs/>
                <w:color w:val="FFFFFF"/>
                <w:sz w:val="21"/>
                <w:szCs w:val="21"/>
              </w:rPr>
              <w:t xml:space="preserve">Hyperparameter</w:t>
            </w:r>
          </w:p>
        </w:tc>
        <w:tc>
          <w:tcPr>
            <w:tcW w:type="dxa" w:w="5600"/>
            <w:shd w:fill="1E2761" w:val="clear"/>
            <w:tcMar>
              <w:top w:type="dxa" w:w="100"/>
              <w:left w:type="dxa" w:w="120"/>
              <w:bottom w:type="dxa" w:w="100"/>
              <w:right w:type="dxa" w:w="120"/>
            </w:tcMar>
            <w:vAlign w:val="center"/>
          </w:tcPr>
          <w:p>
            <w:r>
              <w:rPr>
                <w:b/>
                <w:bCs/>
                <w:color w:val="FFFFFF"/>
                <w:sz w:val="21"/>
                <w:szCs w:val="21"/>
              </w:rPr>
              <w:t xml:space="preserve">Value</w:t>
            </w:r>
          </w:p>
        </w:tc>
      </w:tr>
      <w:tr>
        <w:tc>
          <w:tcPr>
            <w:tcW w:type="dxa" w:w="4200"/>
            <w:shd w:fill="FFFFFF" w:val="clear"/>
            <w:tcMar>
              <w:top w:type="dxa" w:w="100"/>
              <w:left w:type="dxa" w:w="120"/>
              <w:bottom w:type="dxa" w:w="100"/>
              <w:right w:type="dxa" w:w="120"/>
            </w:tcMar>
            <w:vAlign w:val="center"/>
          </w:tcPr>
          <w:p>
            <w:r>
              <w:rPr>
                <w:b w:val="false"/>
                <w:bCs w:val="false"/>
                <w:color w:val="1A1A2E"/>
                <w:sz w:val="21"/>
                <w:szCs w:val="21"/>
              </w:rPr>
              <w:t xml:space="preserve">Base model</w:t>
            </w:r>
          </w:p>
        </w:tc>
        <w:tc>
          <w:tcPr>
            <w:tcW w:type="dxa" w:w="5600"/>
            <w:shd w:fill="FFFFFF" w:val="clear"/>
            <w:tcMar>
              <w:top w:type="dxa" w:w="100"/>
              <w:left w:type="dxa" w:w="120"/>
              <w:bottom w:type="dxa" w:w="100"/>
              <w:right w:type="dxa" w:w="120"/>
            </w:tcMar>
            <w:vAlign w:val="center"/>
          </w:tcPr>
          <w:p>
            <w:r>
              <w:rPr>
                <w:b w:val="false"/>
                <w:bCs w:val="false"/>
                <w:color w:val="1A1A2E"/>
                <w:sz w:val="21"/>
                <w:szCs w:val="21"/>
              </w:rPr>
              <w:t xml:space="preserve">yolo11n.pt (COCO-pretrained)</w:t>
            </w:r>
          </w:p>
        </w:tc>
      </w:tr>
      <w:tr>
        <w:tc>
          <w:tcPr>
            <w:tcW w:type="dxa" w:w="4200"/>
            <w:shd w:fill="F0F5FC" w:val="clear"/>
            <w:tcMar>
              <w:top w:type="dxa" w:w="100"/>
              <w:left w:type="dxa" w:w="120"/>
              <w:bottom w:type="dxa" w:w="100"/>
              <w:right w:type="dxa" w:w="120"/>
            </w:tcMar>
            <w:vAlign w:val="center"/>
          </w:tcPr>
          <w:p>
            <w:r>
              <w:rPr>
                <w:b w:val="false"/>
                <w:bCs w:val="false"/>
                <w:color w:val="1A1A2E"/>
                <w:sz w:val="21"/>
                <w:szCs w:val="21"/>
              </w:rPr>
              <w:t xml:space="preserve">Epochs</w:t>
            </w:r>
          </w:p>
        </w:tc>
        <w:tc>
          <w:tcPr>
            <w:tcW w:type="dxa" w:w="5600"/>
            <w:shd w:fill="F0F5FC" w:val="clear"/>
            <w:tcMar>
              <w:top w:type="dxa" w:w="100"/>
              <w:left w:type="dxa" w:w="120"/>
              <w:bottom w:type="dxa" w:w="100"/>
              <w:right w:type="dxa" w:w="120"/>
            </w:tcMar>
            <w:vAlign w:val="center"/>
          </w:tcPr>
          <w:p>
            <w:r>
              <w:rPr>
                <w:b w:val="false"/>
                <w:bCs w:val="false"/>
                <w:color w:val="1A1A2E"/>
                <w:sz w:val="21"/>
                <w:szCs w:val="21"/>
              </w:rPr>
              <w:t xml:space="preserve">100 (early stopping patience = 20)</w:t>
            </w:r>
          </w:p>
        </w:tc>
      </w:tr>
      <w:tr>
        <w:tc>
          <w:tcPr>
            <w:tcW w:type="dxa" w:w="4200"/>
            <w:shd w:fill="FFFFFF" w:val="clear"/>
            <w:tcMar>
              <w:top w:type="dxa" w:w="100"/>
              <w:left w:type="dxa" w:w="120"/>
              <w:bottom w:type="dxa" w:w="100"/>
              <w:right w:type="dxa" w:w="120"/>
            </w:tcMar>
            <w:vAlign w:val="center"/>
          </w:tcPr>
          <w:p>
            <w:r>
              <w:rPr>
                <w:b w:val="false"/>
                <w:bCs w:val="false"/>
                <w:color w:val="1A1A2E"/>
                <w:sz w:val="21"/>
                <w:szCs w:val="21"/>
              </w:rPr>
              <w:t xml:space="preserve">Image size</w:t>
            </w:r>
          </w:p>
        </w:tc>
        <w:tc>
          <w:tcPr>
            <w:tcW w:type="dxa" w:w="5600"/>
            <w:shd w:fill="FFFFFF" w:val="clear"/>
            <w:tcMar>
              <w:top w:type="dxa" w:w="100"/>
              <w:left w:type="dxa" w:w="120"/>
              <w:bottom w:type="dxa" w:w="100"/>
              <w:right w:type="dxa" w:w="120"/>
            </w:tcMar>
            <w:vAlign w:val="center"/>
          </w:tcPr>
          <w:p>
            <w:r>
              <w:rPr>
                <w:b w:val="false"/>
                <w:bCs w:val="false"/>
                <w:color w:val="1A1A2E"/>
                <w:sz w:val="21"/>
                <w:szCs w:val="21"/>
              </w:rPr>
              <w:t xml:space="preserve">640 × 640</w:t>
            </w:r>
          </w:p>
        </w:tc>
      </w:tr>
      <w:tr>
        <w:tc>
          <w:tcPr>
            <w:tcW w:type="dxa" w:w="4200"/>
            <w:shd w:fill="F0F5FC" w:val="clear"/>
            <w:tcMar>
              <w:top w:type="dxa" w:w="100"/>
              <w:left w:type="dxa" w:w="120"/>
              <w:bottom w:type="dxa" w:w="100"/>
              <w:right w:type="dxa" w:w="120"/>
            </w:tcMar>
            <w:vAlign w:val="center"/>
          </w:tcPr>
          <w:p>
            <w:r>
              <w:rPr>
                <w:b w:val="false"/>
                <w:bCs w:val="false"/>
                <w:color w:val="1A1A2E"/>
                <w:sz w:val="21"/>
                <w:szCs w:val="21"/>
              </w:rPr>
              <w:t xml:space="preserve">Batch size</w:t>
            </w:r>
          </w:p>
        </w:tc>
        <w:tc>
          <w:tcPr>
            <w:tcW w:type="dxa" w:w="5600"/>
            <w:shd w:fill="F0F5FC" w:val="clear"/>
            <w:tcMar>
              <w:top w:type="dxa" w:w="100"/>
              <w:left w:type="dxa" w:w="120"/>
              <w:bottom w:type="dxa" w:w="100"/>
              <w:right w:type="dxa" w:w="120"/>
            </w:tcMar>
            <w:vAlign w:val="center"/>
          </w:tcPr>
          <w:p>
            <w:r>
              <w:rPr>
                <w:b w:val="false"/>
                <w:bCs w:val="false"/>
                <w:color w:val="1A1A2E"/>
                <w:sz w:val="21"/>
                <w:szCs w:val="21"/>
              </w:rPr>
              <w:t xml:space="preserve">16</w:t>
            </w:r>
          </w:p>
        </w:tc>
      </w:tr>
      <w:tr>
        <w:tc>
          <w:tcPr>
            <w:tcW w:type="dxa" w:w="4200"/>
            <w:shd w:fill="FFFFFF" w:val="clear"/>
            <w:tcMar>
              <w:top w:type="dxa" w:w="100"/>
              <w:left w:type="dxa" w:w="120"/>
              <w:bottom w:type="dxa" w:w="100"/>
              <w:right w:type="dxa" w:w="120"/>
            </w:tcMar>
            <w:vAlign w:val="center"/>
          </w:tcPr>
          <w:p>
            <w:r>
              <w:rPr>
                <w:b w:val="false"/>
                <w:bCs w:val="false"/>
                <w:color w:val="1A1A2E"/>
                <w:sz w:val="21"/>
                <w:szCs w:val="21"/>
              </w:rPr>
              <w:t xml:space="preserve">Optimizer</w:t>
            </w:r>
          </w:p>
        </w:tc>
        <w:tc>
          <w:tcPr>
            <w:tcW w:type="dxa" w:w="5600"/>
            <w:shd w:fill="FFFFFF" w:val="clear"/>
            <w:tcMar>
              <w:top w:type="dxa" w:w="100"/>
              <w:left w:type="dxa" w:w="120"/>
              <w:bottom w:type="dxa" w:w="100"/>
              <w:right w:type="dxa" w:w="120"/>
            </w:tcMar>
            <w:vAlign w:val="center"/>
          </w:tcPr>
          <w:p>
            <w:r>
              <w:rPr>
                <w:b w:val="false"/>
                <w:bCs w:val="false"/>
                <w:color w:val="1A1A2E"/>
                <w:sz w:val="21"/>
                <w:szCs w:val="21"/>
              </w:rPr>
              <w:t xml:space="preserve">Ultralytics auto-selected</w:t>
            </w:r>
          </w:p>
        </w:tc>
      </w:tr>
      <w:tr>
        <w:tc>
          <w:tcPr>
            <w:tcW w:type="dxa" w:w="4200"/>
            <w:shd w:fill="F0F5FC" w:val="clear"/>
            <w:tcMar>
              <w:top w:type="dxa" w:w="100"/>
              <w:left w:type="dxa" w:w="120"/>
              <w:bottom w:type="dxa" w:w="100"/>
              <w:right w:type="dxa" w:w="120"/>
            </w:tcMar>
            <w:vAlign w:val="center"/>
          </w:tcPr>
          <w:p>
            <w:r>
              <w:rPr>
                <w:b w:val="false"/>
                <w:bCs w:val="false"/>
                <w:color w:val="1A1A2E"/>
                <w:sz w:val="21"/>
                <w:szCs w:val="21"/>
              </w:rPr>
              <w:t xml:space="preserve">Platform</w:t>
            </w:r>
          </w:p>
        </w:tc>
        <w:tc>
          <w:tcPr>
            <w:tcW w:type="dxa" w:w="5600"/>
            <w:shd w:fill="F0F5FC" w:val="clear"/>
            <w:tcMar>
              <w:top w:type="dxa" w:w="100"/>
              <w:left w:type="dxa" w:w="120"/>
              <w:bottom w:type="dxa" w:w="100"/>
              <w:right w:type="dxa" w:w="120"/>
            </w:tcMar>
            <w:vAlign w:val="center"/>
          </w:tcPr>
          <w:p>
            <w:r>
              <w:rPr>
                <w:b w:val="false"/>
                <w:bCs w:val="false"/>
                <w:color w:val="1A1A2E"/>
                <w:sz w:val="21"/>
                <w:szCs w:val="21"/>
              </w:rPr>
              <w:t xml:space="preserve">Google Colab — Tesla T4 GPU</w:t>
            </w:r>
          </w:p>
        </w:tc>
      </w:tr>
      <w:tr>
        <w:tc>
          <w:tcPr>
            <w:tcW w:type="dxa" w:w="4200"/>
            <w:shd w:fill="FFFFFF" w:val="clear"/>
            <w:tcMar>
              <w:top w:type="dxa" w:w="100"/>
              <w:left w:type="dxa" w:w="120"/>
              <w:bottom w:type="dxa" w:w="100"/>
              <w:right w:type="dxa" w:w="120"/>
            </w:tcMar>
            <w:vAlign w:val="center"/>
          </w:tcPr>
          <w:p>
            <w:r>
              <w:rPr>
                <w:b w:val="false"/>
                <w:bCs w:val="false"/>
                <w:color w:val="1A1A2E"/>
                <w:sz w:val="21"/>
                <w:szCs w:val="21"/>
              </w:rPr>
              <w:t xml:space="preserve">Training time</w:t>
            </w:r>
          </w:p>
        </w:tc>
        <w:tc>
          <w:tcPr>
            <w:tcW w:type="dxa" w:w="5600"/>
            <w:shd w:fill="FFFFFF" w:val="clear"/>
            <w:tcMar>
              <w:top w:type="dxa" w:w="100"/>
              <w:left w:type="dxa" w:w="120"/>
              <w:bottom w:type="dxa" w:w="100"/>
              <w:right w:type="dxa" w:w="120"/>
            </w:tcMar>
            <w:vAlign w:val="center"/>
          </w:tcPr>
          <w:p>
            <w:r>
              <w:rPr>
                <w:b w:val="false"/>
                <w:bCs w:val="false"/>
                <w:color w:val="1A1A2E"/>
                <w:sz w:val="21"/>
                <w:szCs w:val="21"/>
              </w:rPr>
              <w:t xml:space="preserve">4.84 GPU-hours</w:t>
            </w:r>
          </w:p>
        </w:tc>
      </w:tr>
      <w:tr>
        <w:tc>
          <w:tcPr>
            <w:tcW w:type="dxa" w:w="4200"/>
            <w:shd w:fill="F0F5FC" w:val="clear"/>
            <w:tcMar>
              <w:top w:type="dxa" w:w="100"/>
              <w:left w:type="dxa" w:w="120"/>
              <w:bottom w:type="dxa" w:w="100"/>
              <w:right w:type="dxa" w:w="120"/>
            </w:tcMar>
            <w:vAlign w:val="center"/>
          </w:tcPr>
          <w:p>
            <w:r>
              <w:rPr>
                <w:b w:val="false"/>
                <w:bCs w:val="false"/>
                <w:color w:val="1A1A2E"/>
                <w:sz w:val="21"/>
                <w:szCs w:val="21"/>
              </w:rPr>
              <w:t xml:space="preserve">Dataset configuration</w:t>
            </w:r>
          </w:p>
        </w:tc>
        <w:tc>
          <w:tcPr>
            <w:tcW w:type="dxa" w:w="5600"/>
            <w:shd w:fill="F0F5FC" w:val="clear"/>
            <w:tcMar>
              <w:top w:type="dxa" w:w="100"/>
              <w:left w:type="dxa" w:w="120"/>
              <w:bottom w:type="dxa" w:w="100"/>
              <w:right w:type="dxa" w:w="120"/>
            </w:tcMar>
            <w:vAlign w:val="center"/>
          </w:tcPr>
          <w:p>
            <w:r>
              <w:rPr>
                <w:b w:val="false"/>
                <w:bCs w:val="false"/>
                <w:color w:val="1A1A2E"/>
                <w:sz w:val="21"/>
                <w:szCs w:val="21"/>
              </w:rPr>
              <w:t xml:space="preserve">VisDrone.yaml (auto-download + YOLO-format conversion)</w:t>
            </w:r>
          </w:p>
        </w:tc>
      </w:tr>
    </w:tbl>
    <w:p>
      <w:pPr>
        <w:spacing w:after="240" w:before="80"/>
        <w:jc w:val="center"/>
      </w:pPr>
      <w:r>
        <w:rPr>
          <w:i/>
          <w:iCs/>
          <w:color w:val="5B6B8C"/>
          <w:sz w:val="18"/>
          <w:szCs w:val="18"/>
        </w:rPr>
        <w:t xml:space="preserve">Table 2: Training hyperparameters and environment.</w:t>
      </w:r>
    </w:p>
    <w:p>
      <w:pPr>
        <w:pStyle w:val="Heading2"/>
        <w:spacing w:after="120" w:before="260"/>
      </w:pPr>
      <w:r>
        <w:rPr>
          <w:b/>
          <w:bCs/>
          <w:color w:val="1E2761"/>
          <w:sz w:val="24"/>
          <w:szCs w:val="24"/>
        </w:rPr>
        <w:t xml:space="preserve">4.4 Evaluation Metrics</w:t>
      </w:r>
    </w:p>
    <w:p>
      <w:pPr>
        <w:pStyle w:val="ListParagraph"/>
        <w:numPr>
          <w:ilvl w:val="0"/>
          <w:numId w:val="2"/>
        </w:numPr>
        <w:spacing w:after="90"/>
      </w:pPr>
      <w:r>
        <w:rPr>
          <w:color w:val="1A1A2E"/>
          <w:sz w:val="22"/>
          <w:szCs w:val="22"/>
        </w:rPr>
        <w:t xml:space="preserve">mAP@50 — mean Average Precision at an IoU threshold of 0.5; the standard single-threshold detection metric.</w:t>
      </w:r>
    </w:p>
    <w:p>
      <w:pPr>
        <w:pStyle w:val="ListParagraph"/>
        <w:numPr>
          <w:ilvl w:val="0"/>
          <w:numId w:val="2"/>
        </w:numPr>
        <w:spacing w:after="90"/>
      </w:pPr>
      <w:r>
        <w:rPr>
          <w:color w:val="1A1A2E"/>
          <w:sz w:val="22"/>
          <w:szCs w:val="22"/>
        </w:rPr>
        <w:t xml:space="preserve">mAP@50-95 — mean Average Precision averaged over IoU thresholds from 0.5 to 0.95 in steps of 0.05; a stricter, localization-sensitive metric.</w:t>
      </w:r>
    </w:p>
    <w:p>
      <w:pPr>
        <w:pStyle w:val="ListParagraph"/>
        <w:numPr>
          <w:ilvl w:val="0"/>
          <w:numId w:val="2"/>
        </w:numPr>
        <w:spacing w:after="90"/>
      </w:pPr>
      <w:r>
        <w:rPr>
          <w:color w:val="1A1A2E"/>
          <w:sz w:val="22"/>
          <w:szCs w:val="22"/>
        </w:rPr>
        <w:t xml:space="preserve">Precision — the proportion of predicted detections that are correct.</w:t>
      </w:r>
    </w:p>
    <w:p>
      <w:pPr>
        <w:pStyle w:val="ListParagraph"/>
        <w:numPr>
          <w:ilvl w:val="0"/>
          <w:numId w:val="2"/>
        </w:numPr>
        <w:spacing w:after="90"/>
      </w:pPr>
      <w:r>
        <w:rPr>
          <w:color w:val="1A1A2E"/>
          <w:sz w:val="22"/>
          <w:szCs w:val="22"/>
        </w:rPr>
        <w:t xml:space="preserve">Recall — the proportion of ground-truth objects that are successfully detected.</w:t>
      </w:r>
    </w:p>
    <w:p>
      <w:pPr>
        <w:pStyle w:val="ListParagraph"/>
        <w:numPr>
          <w:ilvl w:val="0"/>
          <w:numId w:val="2"/>
        </w:numPr>
        <w:spacing w:after="90"/>
      </w:pPr>
      <w:r>
        <w:rPr>
          <w:color w:val="1A1A2E"/>
          <w:sz w:val="22"/>
          <w:szCs w:val="22"/>
        </w:rPr>
        <w:t xml:space="preserve">F1-score — the harmonic mean of precision and recall.</w:t>
      </w:r>
    </w:p>
    <w:p>
      <w:pPr>
        <w:pStyle w:val="ListParagraph"/>
        <w:numPr>
          <w:ilvl w:val="0"/>
          <w:numId w:val="2"/>
        </w:numPr>
        <w:spacing w:after="90"/>
      </w:pPr>
      <w:r>
        <w:rPr>
          <w:color w:val="1A1A2E"/>
          <w:sz w:val="22"/>
          <w:szCs w:val="22"/>
        </w:rPr>
        <w:t xml:space="preserve">FPS — frames processed per second at inference time, indicating real-time viability.</w:t>
      </w:r>
    </w:p>
    <w:p>
      <w:r>
        <w:br w:type="page"/>
      </w:r>
    </w:p>
    <w:p>
      <w:pPr>
        <w:pStyle w:val="Heading1"/>
        <w:spacing w:after="160" w:before="360"/>
      </w:pPr>
      <w:r>
        <w:rPr>
          <w:b/>
          <w:bCs/>
          <w:color w:val="1E2761"/>
          <w:sz w:val="30"/>
          <w:szCs w:val="30"/>
        </w:rPr>
        <w:t xml:space="preserve">5. Results and Discussion</w:t>
      </w:r>
    </w:p>
    <w:p>
      <w:pPr>
        <w:pStyle w:val="Heading2"/>
        <w:spacing w:after="120" w:before="260"/>
      </w:pPr>
      <w:r>
        <w:rPr>
          <w:b/>
          <w:bCs/>
          <w:color w:val="1E2761"/>
          <w:sz w:val="24"/>
          <w:szCs w:val="24"/>
        </w:rPr>
        <w:t xml:space="preserve">5.1 Overall Performance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E2761" w:val="clear"/>
            <w:tcMar>
              <w:top w:type="dxa" w:w="100"/>
              <w:left w:type="dxa" w:w="120"/>
              <w:bottom w:type="dxa" w:w="100"/>
              <w:right w:type="dxa" w:w="120"/>
            </w:tcMar>
            <w:vAlign w:val="center"/>
          </w:tcPr>
          <w:p>
            <w:r>
              <w:rPr>
                <w:b/>
                <w:bCs/>
                <w:color w:val="FFFFFF"/>
                <w:sz w:val="21"/>
                <w:szCs w:val="21"/>
              </w:rPr>
              <w:t xml:space="preserve">Metric</w:t>
            </w:r>
          </w:p>
        </w:tc>
        <w:tc>
          <w:tcPr>
            <w:tcW w:type="dxa" w:w="5600"/>
            <w:shd w:fill="1E2761" w:val="clear"/>
            <w:tcMar>
              <w:top w:type="dxa" w:w="100"/>
              <w:left w:type="dxa" w:w="120"/>
              <w:bottom w:type="dxa" w:w="100"/>
              <w:right w:type="dxa" w:w="120"/>
            </w:tcMar>
            <w:vAlign w:val="center"/>
          </w:tcPr>
          <w:p>
            <w:r>
              <w:rPr>
                <w:b/>
                <w:bCs/>
                <w:color w:val="FFFFFF"/>
                <w:sz w:val="21"/>
                <w:szCs w:val="21"/>
              </w:rPr>
              <w:t xml:space="preserve">Value</w:t>
            </w:r>
          </w:p>
        </w:tc>
      </w:tr>
      <w:tr>
        <w:tc>
          <w:tcPr>
            <w:tcW w:type="dxa" w:w="4200"/>
            <w:shd w:fill="FFFFFF" w:val="clear"/>
            <w:tcMar>
              <w:top w:type="dxa" w:w="100"/>
              <w:left w:type="dxa" w:w="120"/>
              <w:bottom w:type="dxa" w:w="100"/>
              <w:right w:type="dxa" w:w="120"/>
            </w:tcMar>
            <w:vAlign w:val="center"/>
          </w:tcPr>
          <w:p>
            <w:r>
              <w:rPr>
                <w:b w:val="false"/>
                <w:bCs w:val="false"/>
                <w:color w:val="1A1A2E"/>
                <w:sz w:val="21"/>
                <w:szCs w:val="21"/>
              </w:rPr>
              <w:t xml:space="preserve">Precision</w:t>
            </w:r>
          </w:p>
        </w:tc>
        <w:tc>
          <w:tcPr>
            <w:tcW w:type="dxa" w:w="5600"/>
            <w:shd w:fill="FFFFFF" w:val="clear"/>
            <w:tcMar>
              <w:top w:type="dxa" w:w="100"/>
              <w:left w:type="dxa" w:w="120"/>
              <w:bottom w:type="dxa" w:w="100"/>
              <w:right w:type="dxa" w:w="120"/>
            </w:tcMar>
            <w:vAlign w:val="center"/>
          </w:tcPr>
          <w:p>
            <w:r>
              <w:rPr>
                <w:b w:val="false"/>
                <w:bCs w:val="false"/>
                <w:color w:val="1A1A2E"/>
                <w:sz w:val="21"/>
                <w:szCs w:val="21"/>
              </w:rPr>
              <w:t xml:space="preserve">44.86%</w:t>
            </w:r>
          </w:p>
        </w:tc>
      </w:tr>
      <w:tr>
        <w:tc>
          <w:tcPr>
            <w:tcW w:type="dxa" w:w="4200"/>
            <w:shd w:fill="F0F5FC" w:val="clear"/>
            <w:tcMar>
              <w:top w:type="dxa" w:w="100"/>
              <w:left w:type="dxa" w:w="120"/>
              <w:bottom w:type="dxa" w:w="100"/>
              <w:right w:type="dxa" w:w="120"/>
            </w:tcMar>
            <w:vAlign w:val="center"/>
          </w:tcPr>
          <w:p>
            <w:r>
              <w:rPr>
                <w:b w:val="false"/>
                <w:bCs w:val="false"/>
                <w:color w:val="1A1A2E"/>
                <w:sz w:val="21"/>
                <w:szCs w:val="21"/>
              </w:rPr>
              <w:t xml:space="preserve">Recall</w:t>
            </w:r>
          </w:p>
        </w:tc>
        <w:tc>
          <w:tcPr>
            <w:tcW w:type="dxa" w:w="5600"/>
            <w:shd w:fill="F0F5FC" w:val="clear"/>
            <w:tcMar>
              <w:top w:type="dxa" w:w="100"/>
              <w:left w:type="dxa" w:w="120"/>
              <w:bottom w:type="dxa" w:w="100"/>
              <w:right w:type="dxa" w:w="120"/>
            </w:tcMar>
            <w:vAlign w:val="center"/>
          </w:tcPr>
          <w:p>
            <w:r>
              <w:rPr>
                <w:b w:val="false"/>
                <w:bCs w:val="false"/>
                <w:color w:val="1A1A2E"/>
                <w:sz w:val="21"/>
                <w:szCs w:val="21"/>
              </w:rPr>
              <w:t xml:space="preserve">34.69%</w:t>
            </w:r>
          </w:p>
        </w:tc>
      </w:tr>
      <w:tr>
        <w:tc>
          <w:tcPr>
            <w:tcW w:type="dxa" w:w="4200"/>
            <w:shd w:fill="FFFFFF" w:val="clear"/>
            <w:tcMar>
              <w:top w:type="dxa" w:w="100"/>
              <w:left w:type="dxa" w:w="120"/>
              <w:bottom w:type="dxa" w:w="100"/>
              <w:right w:type="dxa" w:w="120"/>
            </w:tcMar>
            <w:vAlign w:val="center"/>
          </w:tcPr>
          <w:p>
            <w:r>
              <w:rPr>
                <w:b w:val="false"/>
                <w:bCs w:val="false"/>
                <w:color w:val="1A1A2E"/>
                <w:sz w:val="21"/>
                <w:szCs w:val="21"/>
              </w:rPr>
              <w:t xml:space="preserve">mAP@50</w:t>
            </w:r>
          </w:p>
        </w:tc>
        <w:tc>
          <w:tcPr>
            <w:tcW w:type="dxa" w:w="5600"/>
            <w:shd w:fill="FFFFFF" w:val="clear"/>
            <w:tcMar>
              <w:top w:type="dxa" w:w="100"/>
              <w:left w:type="dxa" w:w="120"/>
              <w:bottom w:type="dxa" w:w="100"/>
              <w:right w:type="dxa" w:w="120"/>
            </w:tcMar>
            <w:vAlign w:val="center"/>
          </w:tcPr>
          <w:p>
            <w:r>
              <w:rPr>
                <w:b w:val="false"/>
                <w:bCs w:val="false"/>
                <w:color w:val="1A1A2E"/>
                <w:sz w:val="21"/>
                <w:szCs w:val="21"/>
              </w:rPr>
              <w:t xml:space="preserve">32.44%</w:t>
            </w:r>
          </w:p>
        </w:tc>
      </w:tr>
      <w:tr>
        <w:tc>
          <w:tcPr>
            <w:tcW w:type="dxa" w:w="4200"/>
            <w:shd w:fill="F0F5FC" w:val="clear"/>
            <w:tcMar>
              <w:top w:type="dxa" w:w="100"/>
              <w:left w:type="dxa" w:w="120"/>
              <w:bottom w:type="dxa" w:w="100"/>
              <w:right w:type="dxa" w:w="120"/>
            </w:tcMar>
            <w:vAlign w:val="center"/>
          </w:tcPr>
          <w:p>
            <w:r>
              <w:rPr>
                <w:b w:val="false"/>
                <w:bCs w:val="false"/>
                <w:color w:val="1A1A2E"/>
                <w:sz w:val="21"/>
                <w:szCs w:val="21"/>
              </w:rPr>
              <w:t xml:space="preserve">mAP@50-95</w:t>
            </w:r>
          </w:p>
        </w:tc>
        <w:tc>
          <w:tcPr>
            <w:tcW w:type="dxa" w:w="5600"/>
            <w:shd w:fill="F0F5FC" w:val="clear"/>
            <w:tcMar>
              <w:top w:type="dxa" w:w="100"/>
              <w:left w:type="dxa" w:w="120"/>
              <w:bottom w:type="dxa" w:w="100"/>
              <w:right w:type="dxa" w:w="120"/>
            </w:tcMar>
            <w:vAlign w:val="center"/>
          </w:tcPr>
          <w:p>
            <w:r>
              <w:rPr>
                <w:b w:val="false"/>
                <w:bCs w:val="false"/>
                <w:color w:val="1A1A2E"/>
                <w:sz w:val="21"/>
                <w:szCs w:val="21"/>
              </w:rPr>
              <w:t xml:space="preserve">18.41%</w:t>
            </w:r>
          </w:p>
        </w:tc>
      </w:tr>
      <w:tr>
        <w:tc>
          <w:tcPr>
            <w:tcW w:type="dxa" w:w="4200"/>
            <w:shd w:fill="FFFFFF" w:val="clear"/>
            <w:tcMar>
              <w:top w:type="dxa" w:w="100"/>
              <w:left w:type="dxa" w:w="120"/>
              <w:bottom w:type="dxa" w:w="100"/>
              <w:right w:type="dxa" w:w="120"/>
            </w:tcMar>
            <w:vAlign w:val="center"/>
          </w:tcPr>
          <w:p>
            <w:r>
              <w:rPr>
                <w:b w:val="false"/>
                <w:bCs w:val="false"/>
                <w:color w:val="1A1A2E"/>
                <w:sz w:val="21"/>
                <w:szCs w:val="21"/>
              </w:rPr>
              <w:t xml:space="preserve">F1-score</w:t>
            </w:r>
          </w:p>
        </w:tc>
        <w:tc>
          <w:tcPr>
            <w:tcW w:type="dxa" w:w="5600"/>
            <w:shd w:fill="FFFFFF" w:val="clear"/>
            <w:tcMar>
              <w:top w:type="dxa" w:w="100"/>
              <w:left w:type="dxa" w:w="120"/>
              <w:bottom w:type="dxa" w:w="100"/>
              <w:right w:type="dxa" w:w="120"/>
            </w:tcMar>
            <w:vAlign w:val="center"/>
          </w:tcPr>
          <w:p>
            <w:r>
              <w:rPr>
                <w:b w:val="false"/>
                <w:bCs w:val="false"/>
                <w:color w:val="1A1A2E"/>
                <w:sz w:val="21"/>
                <w:szCs w:val="21"/>
              </w:rPr>
              <w:t xml:space="preserve">39.13%</w:t>
            </w:r>
          </w:p>
        </w:tc>
      </w:tr>
      <w:tr>
        <w:tc>
          <w:tcPr>
            <w:tcW w:type="dxa" w:w="4200"/>
            <w:shd w:fill="F0F5FC" w:val="clear"/>
            <w:tcMar>
              <w:top w:type="dxa" w:w="100"/>
              <w:left w:type="dxa" w:w="120"/>
              <w:bottom w:type="dxa" w:w="100"/>
              <w:right w:type="dxa" w:w="120"/>
            </w:tcMar>
            <w:vAlign w:val="center"/>
          </w:tcPr>
          <w:p>
            <w:r>
              <w:rPr>
                <w:b w:val="false"/>
                <w:bCs w:val="false"/>
                <w:color w:val="1A1A2E"/>
                <w:sz w:val="21"/>
                <w:szCs w:val="21"/>
              </w:rPr>
              <w:t xml:space="preserve">Inference speed</w:t>
            </w:r>
          </w:p>
        </w:tc>
        <w:tc>
          <w:tcPr>
            <w:tcW w:type="dxa" w:w="5600"/>
            <w:shd w:fill="F0F5FC" w:val="clear"/>
            <w:tcMar>
              <w:top w:type="dxa" w:w="100"/>
              <w:left w:type="dxa" w:w="120"/>
              <w:bottom w:type="dxa" w:w="100"/>
              <w:right w:type="dxa" w:w="120"/>
            </w:tcMar>
            <w:vAlign w:val="center"/>
          </w:tcPr>
          <w:p>
            <w:r>
              <w:rPr>
                <w:b w:val="false"/>
                <w:bCs w:val="false"/>
                <w:color w:val="1A1A2E"/>
                <w:sz w:val="21"/>
                <w:szCs w:val="21"/>
              </w:rPr>
              <w:t xml:space="preserve">65.0 FPS (15.4 ms/image)</w:t>
            </w:r>
          </w:p>
        </w:tc>
      </w:tr>
    </w:tbl>
    <w:p>
      <w:pPr>
        <w:spacing w:after="240" w:before="80"/>
        <w:jc w:val="center"/>
      </w:pPr>
      <w:r>
        <w:rPr>
          <w:i/>
          <w:iCs/>
          <w:color w:val="5B6B8C"/>
          <w:sz w:val="18"/>
          <w:szCs w:val="18"/>
        </w:rPr>
        <w:t xml:space="preserve">Table 3: Overall validation metrics (548 images, 38,759 instances).</w:t>
      </w:r>
    </w:p>
    <w:p>
      <w:pPr>
        <w:spacing w:after="160" w:line="300"/>
      </w:pPr>
      <w:r>
        <w:rPr>
          <w:color w:val="1A1A2E"/>
          <w:sz w:val="22"/>
          <w:szCs w:val="22"/>
        </w:rPr>
        <w:t xml:space="preserve">The gap between mAP@50 (32.4%) and the stricter mAP@50-95 (18.4%) is expected: the latter penalizes small localization errors much more heavily, and VisDrone's small object scale makes precise localization inherently harder than on large-object benchmarks. Precision (44.9%) exceeding recall (34.7%) indicates that, at the evaluation confidence threshold, the model behaves conservatively — it more often fails to detect an object than it produces a false detection. Lowering the confidence threshold would trade some precision for higher recall, a tunable operating point rather than a fixed property of the model.</w:t>
      </w:r>
    </w:p>
    <w:p>
      <w:pPr>
        <w:pStyle w:val="Heading2"/>
        <w:spacing w:after="120" w:before="260"/>
      </w:pPr>
      <w:r>
        <w:rPr>
          <w:b/>
          <w:bCs/>
          <w:color w:val="1E2761"/>
          <w:sz w:val="24"/>
          <w:szCs w:val="24"/>
        </w:rPr>
        <w:t xml:space="preserve">5.2 Per-Class Performance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600"/>
      </w:tblGrid>
      <w:tr>
        <w:trPr>
          <w:tblHeader/>
        </w:trPr>
        <w:tc>
          <w:tcPr>
            <w:tcW w:type="dxa" w:w="3000"/>
            <w:shd w:fill="1E2761" w:val="clear"/>
            <w:tcMar>
              <w:top w:type="dxa" w:w="100"/>
              <w:left w:type="dxa" w:w="120"/>
              <w:bottom w:type="dxa" w:w="100"/>
              <w:right w:type="dxa" w:w="120"/>
            </w:tcMar>
            <w:vAlign w:val="center"/>
          </w:tcPr>
          <w:p>
            <w:r>
              <w:rPr>
                <w:b/>
                <w:bCs/>
                <w:color w:val="FFFFFF"/>
                <w:sz w:val="21"/>
                <w:szCs w:val="21"/>
              </w:rPr>
              <w:t xml:space="preserve">Class</w:t>
            </w:r>
          </w:p>
        </w:tc>
        <w:tc>
          <w:tcPr>
            <w:tcW w:type="dxa" w:w="2000"/>
            <w:shd w:fill="1E2761" w:val="clear"/>
            <w:tcMar>
              <w:top w:type="dxa" w:w="100"/>
              <w:left w:type="dxa" w:w="120"/>
              <w:bottom w:type="dxa" w:w="100"/>
              <w:right w:type="dxa" w:w="120"/>
            </w:tcMar>
            <w:vAlign w:val="center"/>
          </w:tcPr>
          <w:p>
            <w:r>
              <w:rPr>
                <w:b/>
                <w:bCs/>
                <w:color w:val="FFFFFF"/>
                <w:sz w:val="21"/>
                <w:szCs w:val="21"/>
              </w:rPr>
              <w:t xml:space="preserve">Instances</w:t>
            </w:r>
          </w:p>
        </w:tc>
        <w:tc>
          <w:tcPr>
            <w:tcW w:type="dxa" w:w="2200"/>
            <w:shd w:fill="1E2761" w:val="clear"/>
            <w:tcMar>
              <w:top w:type="dxa" w:w="100"/>
              <w:left w:type="dxa" w:w="120"/>
              <w:bottom w:type="dxa" w:w="100"/>
              <w:right w:type="dxa" w:w="120"/>
            </w:tcMar>
            <w:vAlign w:val="center"/>
          </w:tcPr>
          <w:p>
            <w:r>
              <w:rPr>
                <w:b/>
                <w:bCs/>
                <w:color w:val="FFFFFF"/>
                <w:sz w:val="21"/>
                <w:szCs w:val="21"/>
              </w:rPr>
              <w:t xml:space="preserve">AP@50</w:t>
            </w:r>
          </w:p>
        </w:tc>
        <w:tc>
          <w:tcPr>
            <w:tcW w:type="dxa" w:w="2600"/>
            <w:shd w:fill="1E2761" w:val="clear"/>
            <w:tcMar>
              <w:top w:type="dxa" w:w="100"/>
              <w:left w:type="dxa" w:w="120"/>
              <w:bottom w:type="dxa" w:w="100"/>
              <w:right w:type="dxa" w:w="120"/>
            </w:tcMar>
            <w:vAlign w:val="center"/>
          </w:tcPr>
          <w:p>
            <w:r>
              <w:rPr>
                <w:b/>
                <w:bCs/>
                <w:color w:val="FFFFFF"/>
                <w:sz w:val="21"/>
                <w:szCs w:val="21"/>
              </w:rPr>
              <w:t xml:space="preserve">AP@50-95</w:t>
            </w:r>
          </w:p>
        </w:tc>
      </w:tr>
      <w:tr>
        <w:tc>
          <w:tcPr>
            <w:tcW w:type="dxa" w:w="3000"/>
            <w:shd w:fill="FFFFFF" w:val="clear"/>
            <w:tcMar>
              <w:top w:type="dxa" w:w="100"/>
              <w:left w:type="dxa" w:w="120"/>
              <w:bottom w:type="dxa" w:w="100"/>
              <w:right w:type="dxa" w:w="120"/>
            </w:tcMar>
            <w:vAlign w:val="center"/>
          </w:tcPr>
          <w:p>
            <w:r>
              <w:rPr>
                <w:b w:val="false"/>
                <w:bCs w:val="false"/>
                <w:color w:val="1A1A2E"/>
                <w:sz w:val="21"/>
                <w:szCs w:val="21"/>
              </w:rPr>
              <w:t xml:space="preserve">car</w:t>
            </w:r>
          </w:p>
        </w:tc>
        <w:tc>
          <w:tcPr>
            <w:tcW w:type="dxa" w:w="2000"/>
            <w:shd w:fill="FFFFFF" w:val="clear"/>
            <w:tcMar>
              <w:top w:type="dxa" w:w="100"/>
              <w:left w:type="dxa" w:w="120"/>
              <w:bottom w:type="dxa" w:w="100"/>
              <w:right w:type="dxa" w:w="120"/>
            </w:tcMar>
            <w:vAlign w:val="center"/>
          </w:tcPr>
          <w:p>
            <w:r>
              <w:rPr>
                <w:b w:val="false"/>
                <w:bCs w:val="false"/>
                <w:color w:val="1A1A2E"/>
                <w:sz w:val="21"/>
                <w:szCs w:val="21"/>
              </w:rPr>
              <w:t xml:space="preserve">14,064</w:t>
            </w:r>
          </w:p>
        </w:tc>
        <w:tc>
          <w:tcPr>
            <w:tcW w:type="dxa" w:w="2200"/>
            <w:shd w:fill="FFFFFF" w:val="clear"/>
            <w:tcMar>
              <w:top w:type="dxa" w:w="100"/>
              <w:left w:type="dxa" w:w="120"/>
              <w:bottom w:type="dxa" w:w="100"/>
              <w:right w:type="dxa" w:w="120"/>
            </w:tcMar>
            <w:vAlign w:val="center"/>
          </w:tcPr>
          <w:p>
            <w:r>
              <w:rPr>
                <w:b w:val="false"/>
                <w:bCs w:val="false"/>
                <w:color w:val="1A1A2E"/>
                <w:sz w:val="21"/>
                <w:szCs w:val="21"/>
              </w:rPr>
              <w:t xml:space="preserve">74.98%</w:t>
            </w:r>
          </w:p>
        </w:tc>
        <w:tc>
          <w:tcPr>
            <w:tcW w:type="dxa" w:w="2600"/>
            <w:shd w:fill="FFFFFF" w:val="clear"/>
            <w:tcMar>
              <w:top w:type="dxa" w:w="100"/>
              <w:left w:type="dxa" w:w="120"/>
              <w:bottom w:type="dxa" w:w="100"/>
              <w:right w:type="dxa" w:w="120"/>
            </w:tcMar>
            <w:vAlign w:val="center"/>
          </w:tcPr>
          <w:p>
            <w:r>
              <w:rPr>
                <w:b w:val="false"/>
                <w:bCs w:val="false"/>
                <w:color w:val="1A1A2E"/>
                <w:sz w:val="21"/>
                <w:szCs w:val="21"/>
              </w:rPr>
              <w:t xml:space="preserve">49.94%</w:t>
            </w:r>
          </w:p>
        </w:tc>
      </w:tr>
      <w:tr>
        <w:tc>
          <w:tcPr>
            <w:tcW w:type="dxa" w:w="3000"/>
            <w:shd w:fill="F0F5FC" w:val="clear"/>
            <w:tcMar>
              <w:top w:type="dxa" w:w="100"/>
              <w:left w:type="dxa" w:w="120"/>
              <w:bottom w:type="dxa" w:w="100"/>
              <w:right w:type="dxa" w:w="120"/>
            </w:tcMar>
            <w:vAlign w:val="center"/>
          </w:tcPr>
          <w:p>
            <w:r>
              <w:rPr>
                <w:b w:val="false"/>
                <w:bCs w:val="false"/>
                <w:color w:val="1A1A2E"/>
                <w:sz w:val="21"/>
                <w:szCs w:val="21"/>
              </w:rPr>
              <w:t xml:space="preserve">bus</w:t>
            </w:r>
          </w:p>
        </w:tc>
        <w:tc>
          <w:tcPr>
            <w:tcW w:type="dxa" w:w="2000"/>
            <w:shd w:fill="F0F5FC" w:val="clear"/>
            <w:tcMar>
              <w:top w:type="dxa" w:w="100"/>
              <w:left w:type="dxa" w:w="120"/>
              <w:bottom w:type="dxa" w:w="100"/>
              <w:right w:type="dxa" w:w="120"/>
            </w:tcMar>
            <w:vAlign w:val="center"/>
          </w:tcPr>
          <w:p>
            <w:r>
              <w:rPr>
                <w:b w:val="false"/>
                <w:bCs w:val="false"/>
                <w:color w:val="1A1A2E"/>
                <w:sz w:val="21"/>
                <w:szCs w:val="21"/>
              </w:rPr>
              <w:t xml:space="preserve">251</w:t>
            </w:r>
          </w:p>
        </w:tc>
        <w:tc>
          <w:tcPr>
            <w:tcW w:type="dxa" w:w="2200"/>
            <w:shd w:fill="F0F5FC" w:val="clear"/>
            <w:tcMar>
              <w:top w:type="dxa" w:w="100"/>
              <w:left w:type="dxa" w:w="120"/>
              <w:bottom w:type="dxa" w:w="100"/>
              <w:right w:type="dxa" w:w="120"/>
            </w:tcMar>
            <w:vAlign w:val="center"/>
          </w:tcPr>
          <w:p>
            <w:r>
              <w:rPr>
                <w:b w:val="false"/>
                <w:bCs w:val="false"/>
                <w:color w:val="1A1A2E"/>
                <w:sz w:val="21"/>
                <w:szCs w:val="21"/>
              </w:rPr>
              <w:t xml:space="preserve">46.49%</w:t>
            </w:r>
          </w:p>
        </w:tc>
        <w:tc>
          <w:tcPr>
            <w:tcW w:type="dxa" w:w="2600"/>
            <w:shd w:fill="F0F5FC" w:val="clear"/>
            <w:tcMar>
              <w:top w:type="dxa" w:w="100"/>
              <w:left w:type="dxa" w:w="120"/>
              <w:bottom w:type="dxa" w:w="100"/>
              <w:right w:type="dxa" w:w="120"/>
            </w:tcMar>
            <w:vAlign w:val="center"/>
          </w:tcPr>
          <w:p>
            <w:r>
              <w:rPr>
                <w:b w:val="false"/>
                <w:bCs w:val="false"/>
                <w:color w:val="1A1A2E"/>
                <w:sz w:val="21"/>
                <w:szCs w:val="21"/>
              </w:rPr>
              <w:t xml:space="preserve">31.65%</w:t>
            </w:r>
          </w:p>
        </w:tc>
      </w:tr>
      <w:tr>
        <w:tc>
          <w:tcPr>
            <w:tcW w:type="dxa" w:w="3000"/>
            <w:shd w:fill="FFFFFF" w:val="clear"/>
            <w:tcMar>
              <w:top w:type="dxa" w:w="100"/>
              <w:left w:type="dxa" w:w="120"/>
              <w:bottom w:type="dxa" w:w="100"/>
              <w:right w:type="dxa" w:w="120"/>
            </w:tcMar>
            <w:vAlign w:val="center"/>
          </w:tcPr>
          <w:p>
            <w:r>
              <w:rPr>
                <w:b w:val="false"/>
                <w:bCs w:val="false"/>
                <w:color w:val="1A1A2E"/>
                <w:sz w:val="21"/>
                <w:szCs w:val="21"/>
              </w:rPr>
              <w:t xml:space="preserve">van</w:t>
            </w:r>
          </w:p>
        </w:tc>
        <w:tc>
          <w:tcPr>
            <w:tcW w:type="dxa" w:w="2000"/>
            <w:shd w:fill="FFFFFF" w:val="clear"/>
            <w:tcMar>
              <w:top w:type="dxa" w:w="100"/>
              <w:left w:type="dxa" w:w="120"/>
              <w:bottom w:type="dxa" w:w="100"/>
              <w:right w:type="dxa" w:w="120"/>
            </w:tcMar>
            <w:vAlign w:val="center"/>
          </w:tcPr>
          <w:p>
            <w:r>
              <w:rPr>
                <w:b w:val="false"/>
                <w:bCs w:val="false"/>
                <w:color w:val="1A1A2E"/>
                <w:sz w:val="21"/>
                <w:szCs w:val="21"/>
              </w:rPr>
              <w:t xml:space="preserve">1,975</w:t>
            </w:r>
          </w:p>
        </w:tc>
        <w:tc>
          <w:tcPr>
            <w:tcW w:type="dxa" w:w="2200"/>
            <w:shd w:fill="FFFFFF" w:val="clear"/>
            <w:tcMar>
              <w:top w:type="dxa" w:w="100"/>
              <w:left w:type="dxa" w:w="120"/>
              <w:bottom w:type="dxa" w:w="100"/>
              <w:right w:type="dxa" w:w="120"/>
            </w:tcMar>
            <w:vAlign w:val="center"/>
          </w:tcPr>
          <w:p>
            <w:r>
              <w:rPr>
                <w:b w:val="false"/>
                <w:bCs w:val="false"/>
                <w:color w:val="1A1A2E"/>
                <w:sz w:val="21"/>
                <w:szCs w:val="21"/>
              </w:rPr>
              <w:t xml:space="preserve">36.76%</w:t>
            </w:r>
          </w:p>
        </w:tc>
        <w:tc>
          <w:tcPr>
            <w:tcW w:type="dxa" w:w="2600"/>
            <w:shd w:fill="FFFFFF" w:val="clear"/>
            <w:tcMar>
              <w:top w:type="dxa" w:w="100"/>
              <w:left w:type="dxa" w:w="120"/>
              <w:bottom w:type="dxa" w:w="100"/>
              <w:right w:type="dxa" w:w="120"/>
            </w:tcMar>
            <w:vAlign w:val="center"/>
          </w:tcPr>
          <w:p>
            <w:r>
              <w:rPr>
                <w:b w:val="false"/>
                <w:bCs w:val="false"/>
                <w:color w:val="1A1A2E"/>
                <w:sz w:val="21"/>
                <w:szCs w:val="21"/>
              </w:rPr>
              <w:t xml:space="preserve">25.04%</w:t>
            </w:r>
          </w:p>
        </w:tc>
      </w:tr>
      <w:tr>
        <w:tc>
          <w:tcPr>
            <w:tcW w:type="dxa" w:w="3000"/>
            <w:shd w:fill="F0F5FC" w:val="clear"/>
            <w:tcMar>
              <w:top w:type="dxa" w:w="100"/>
              <w:left w:type="dxa" w:w="120"/>
              <w:bottom w:type="dxa" w:w="100"/>
              <w:right w:type="dxa" w:w="120"/>
            </w:tcMar>
            <w:vAlign w:val="center"/>
          </w:tcPr>
          <w:p>
            <w:r>
              <w:rPr>
                <w:b w:val="false"/>
                <w:bCs w:val="false"/>
                <w:color w:val="1A1A2E"/>
                <w:sz w:val="21"/>
                <w:szCs w:val="21"/>
              </w:rPr>
              <w:t xml:space="preserve">motor</w:t>
            </w:r>
          </w:p>
        </w:tc>
        <w:tc>
          <w:tcPr>
            <w:tcW w:type="dxa" w:w="2000"/>
            <w:shd w:fill="F0F5FC" w:val="clear"/>
            <w:tcMar>
              <w:top w:type="dxa" w:w="100"/>
              <w:left w:type="dxa" w:w="120"/>
              <w:bottom w:type="dxa" w:w="100"/>
              <w:right w:type="dxa" w:w="120"/>
            </w:tcMar>
            <w:vAlign w:val="center"/>
          </w:tcPr>
          <w:p>
            <w:r>
              <w:rPr>
                <w:b w:val="false"/>
                <w:bCs w:val="false"/>
                <w:color w:val="1A1A2E"/>
                <w:sz w:val="21"/>
                <w:szCs w:val="21"/>
              </w:rPr>
              <w:t xml:space="preserve">4,886</w:t>
            </w:r>
          </w:p>
        </w:tc>
        <w:tc>
          <w:tcPr>
            <w:tcW w:type="dxa" w:w="2200"/>
            <w:shd w:fill="F0F5FC" w:val="clear"/>
            <w:tcMar>
              <w:top w:type="dxa" w:w="100"/>
              <w:left w:type="dxa" w:w="120"/>
              <w:bottom w:type="dxa" w:w="100"/>
              <w:right w:type="dxa" w:w="120"/>
            </w:tcMar>
            <w:vAlign w:val="center"/>
          </w:tcPr>
          <w:p>
            <w:r>
              <w:rPr>
                <w:b w:val="false"/>
                <w:bCs w:val="false"/>
                <w:color w:val="1A1A2E"/>
                <w:sz w:val="21"/>
                <w:szCs w:val="21"/>
              </w:rPr>
              <w:t xml:space="preserve">36.33%</w:t>
            </w:r>
          </w:p>
        </w:tc>
        <w:tc>
          <w:tcPr>
            <w:tcW w:type="dxa" w:w="2600"/>
            <w:shd w:fill="F0F5FC" w:val="clear"/>
            <w:tcMar>
              <w:top w:type="dxa" w:w="100"/>
              <w:left w:type="dxa" w:w="120"/>
              <w:bottom w:type="dxa" w:w="100"/>
              <w:right w:type="dxa" w:w="120"/>
            </w:tcMar>
            <w:vAlign w:val="center"/>
          </w:tcPr>
          <w:p>
            <w:r>
              <w:rPr>
                <w:b w:val="false"/>
                <w:bCs w:val="false"/>
                <w:color w:val="1A1A2E"/>
                <w:sz w:val="21"/>
                <w:szCs w:val="21"/>
              </w:rPr>
              <w:t xml:space="preserve">14.33%</w:t>
            </w:r>
          </w:p>
        </w:tc>
      </w:tr>
      <w:tr>
        <w:tc>
          <w:tcPr>
            <w:tcW w:type="dxa" w:w="3000"/>
            <w:shd w:fill="FFFFFF" w:val="clear"/>
            <w:tcMar>
              <w:top w:type="dxa" w:w="100"/>
              <w:left w:type="dxa" w:w="120"/>
              <w:bottom w:type="dxa" w:w="100"/>
              <w:right w:type="dxa" w:w="120"/>
            </w:tcMar>
            <w:vAlign w:val="center"/>
          </w:tcPr>
          <w:p>
            <w:r>
              <w:rPr>
                <w:b w:val="false"/>
                <w:bCs w:val="false"/>
                <w:color w:val="1A1A2E"/>
                <w:sz w:val="21"/>
                <w:szCs w:val="21"/>
              </w:rPr>
              <w:t xml:space="preserve">pedestrian</w:t>
            </w:r>
          </w:p>
        </w:tc>
        <w:tc>
          <w:tcPr>
            <w:tcW w:type="dxa" w:w="2000"/>
            <w:shd w:fill="FFFFFF" w:val="clear"/>
            <w:tcMar>
              <w:top w:type="dxa" w:w="100"/>
              <w:left w:type="dxa" w:w="120"/>
              <w:bottom w:type="dxa" w:w="100"/>
              <w:right w:type="dxa" w:w="120"/>
            </w:tcMar>
            <w:vAlign w:val="center"/>
          </w:tcPr>
          <w:p>
            <w:r>
              <w:rPr>
                <w:b w:val="false"/>
                <w:bCs w:val="false"/>
                <w:color w:val="1A1A2E"/>
                <w:sz w:val="21"/>
                <w:szCs w:val="21"/>
              </w:rPr>
              <w:t xml:space="preserve">8,844</w:t>
            </w:r>
          </w:p>
        </w:tc>
        <w:tc>
          <w:tcPr>
            <w:tcW w:type="dxa" w:w="2200"/>
            <w:shd w:fill="FFFFFF" w:val="clear"/>
            <w:tcMar>
              <w:top w:type="dxa" w:w="100"/>
              <w:left w:type="dxa" w:w="120"/>
              <w:bottom w:type="dxa" w:w="100"/>
              <w:right w:type="dxa" w:w="120"/>
            </w:tcMar>
            <w:vAlign w:val="center"/>
          </w:tcPr>
          <w:p>
            <w:r>
              <w:rPr>
                <w:b w:val="false"/>
                <w:bCs w:val="false"/>
                <w:color w:val="1A1A2E"/>
                <w:sz w:val="21"/>
                <w:szCs w:val="21"/>
              </w:rPr>
              <w:t xml:space="preserve">34.73%</w:t>
            </w:r>
          </w:p>
        </w:tc>
        <w:tc>
          <w:tcPr>
            <w:tcW w:type="dxa" w:w="2600"/>
            <w:shd w:fill="FFFFFF" w:val="clear"/>
            <w:tcMar>
              <w:top w:type="dxa" w:w="100"/>
              <w:left w:type="dxa" w:w="120"/>
              <w:bottom w:type="dxa" w:w="100"/>
              <w:right w:type="dxa" w:w="120"/>
            </w:tcMar>
            <w:vAlign w:val="center"/>
          </w:tcPr>
          <w:p>
            <w:r>
              <w:rPr>
                <w:b w:val="false"/>
                <w:bCs w:val="false"/>
                <w:color w:val="1A1A2E"/>
                <w:sz w:val="21"/>
                <w:szCs w:val="21"/>
              </w:rPr>
              <w:t xml:space="preserve">14.48%</w:t>
            </w:r>
          </w:p>
        </w:tc>
      </w:tr>
      <w:tr>
        <w:tc>
          <w:tcPr>
            <w:tcW w:type="dxa" w:w="3000"/>
            <w:shd w:fill="F0F5FC" w:val="clear"/>
            <w:tcMar>
              <w:top w:type="dxa" w:w="100"/>
              <w:left w:type="dxa" w:w="120"/>
              <w:bottom w:type="dxa" w:w="100"/>
              <w:right w:type="dxa" w:w="120"/>
            </w:tcMar>
            <w:vAlign w:val="center"/>
          </w:tcPr>
          <w:p>
            <w:r>
              <w:rPr>
                <w:b w:val="false"/>
                <w:bCs w:val="false"/>
                <w:color w:val="1A1A2E"/>
                <w:sz w:val="21"/>
                <w:szCs w:val="21"/>
              </w:rPr>
              <w:t xml:space="preserve">truck</w:t>
            </w:r>
          </w:p>
        </w:tc>
        <w:tc>
          <w:tcPr>
            <w:tcW w:type="dxa" w:w="2000"/>
            <w:shd w:fill="F0F5FC" w:val="clear"/>
            <w:tcMar>
              <w:top w:type="dxa" w:w="100"/>
              <w:left w:type="dxa" w:w="120"/>
              <w:bottom w:type="dxa" w:w="100"/>
              <w:right w:type="dxa" w:w="120"/>
            </w:tcMar>
            <w:vAlign w:val="center"/>
          </w:tcPr>
          <w:p>
            <w:r>
              <w:rPr>
                <w:b w:val="false"/>
                <w:bCs w:val="false"/>
                <w:color w:val="1A1A2E"/>
                <w:sz w:val="21"/>
                <w:szCs w:val="21"/>
              </w:rPr>
              <w:t xml:space="preserve">750</w:t>
            </w:r>
          </w:p>
        </w:tc>
        <w:tc>
          <w:tcPr>
            <w:tcW w:type="dxa" w:w="2200"/>
            <w:shd w:fill="F0F5FC" w:val="clear"/>
            <w:tcMar>
              <w:top w:type="dxa" w:w="100"/>
              <w:left w:type="dxa" w:w="120"/>
              <w:bottom w:type="dxa" w:w="100"/>
              <w:right w:type="dxa" w:w="120"/>
            </w:tcMar>
            <w:vAlign w:val="center"/>
          </w:tcPr>
          <w:p>
            <w:r>
              <w:rPr>
                <w:b w:val="false"/>
                <w:bCs w:val="false"/>
                <w:color w:val="1A1A2E"/>
                <w:sz w:val="21"/>
                <w:szCs w:val="21"/>
              </w:rPr>
              <w:t xml:space="preserve">29.12%</w:t>
            </w:r>
          </w:p>
        </w:tc>
        <w:tc>
          <w:tcPr>
            <w:tcW w:type="dxa" w:w="2600"/>
            <w:shd w:fill="F0F5FC" w:val="clear"/>
            <w:tcMar>
              <w:top w:type="dxa" w:w="100"/>
              <w:left w:type="dxa" w:w="120"/>
              <w:bottom w:type="dxa" w:w="100"/>
              <w:right w:type="dxa" w:w="120"/>
            </w:tcMar>
            <w:vAlign w:val="center"/>
          </w:tcPr>
          <w:p>
            <w:r>
              <w:rPr>
                <w:b w:val="false"/>
                <w:bCs w:val="false"/>
                <w:color w:val="1A1A2E"/>
                <w:sz w:val="21"/>
                <w:szCs w:val="21"/>
              </w:rPr>
              <w:t xml:space="preserve">18.69%</w:t>
            </w:r>
          </w:p>
        </w:tc>
      </w:tr>
      <w:tr>
        <w:tc>
          <w:tcPr>
            <w:tcW w:type="dxa" w:w="3000"/>
            <w:shd w:fill="FFFFFF" w:val="clear"/>
            <w:tcMar>
              <w:top w:type="dxa" w:w="100"/>
              <w:left w:type="dxa" w:w="120"/>
              <w:bottom w:type="dxa" w:w="100"/>
              <w:right w:type="dxa" w:w="120"/>
            </w:tcMar>
            <w:vAlign w:val="center"/>
          </w:tcPr>
          <w:p>
            <w:r>
              <w:rPr>
                <w:b w:val="false"/>
                <w:bCs w:val="false"/>
                <w:color w:val="1A1A2E"/>
                <w:sz w:val="21"/>
                <w:szCs w:val="21"/>
              </w:rPr>
              <w:t xml:space="preserve">people</w:t>
            </w:r>
          </w:p>
        </w:tc>
        <w:tc>
          <w:tcPr>
            <w:tcW w:type="dxa" w:w="2000"/>
            <w:shd w:fill="FFFFFF" w:val="clear"/>
            <w:tcMar>
              <w:top w:type="dxa" w:w="100"/>
              <w:left w:type="dxa" w:w="120"/>
              <w:bottom w:type="dxa" w:w="100"/>
              <w:right w:type="dxa" w:w="120"/>
            </w:tcMar>
            <w:vAlign w:val="center"/>
          </w:tcPr>
          <w:p>
            <w:r>
              <w:rPr>
                <w:b w:val="false"/>
                <w:bCs w:val="false"/>
                <w:color w:val="1A1A2E"/>
                <w:sz w:val="21"/>
                <w:szCs w:val="21"/>
              </w:rPr>
              <w:t xml:space="preserve">5,125</w:t>
            </w:r>
          </w:p>
        </w:tc>
        <w:tc>
          <w:tcPr>
            <w:tcW w:type="dxa" w:w="2200"/>
            <w:shd w:fill="FFFFFF" w:val="clear"/>
            <w:tcMar>
              <w:top w:type="dxa" w:w="100"/>
              <w:left w:type="dxa" w:w="120"/>
              <w:bottom w:type="dxa" w:w="100"/>
              <w:right w:type="dxa" w:w="120"/>
            </w:tcMar>
            <w:vAlign w:val="center"/>
          </w:tcPr>
          <w:p>
            <w:r>
              <w:rPr>
                <w:b w:val="false"/>
                <w:bCs w:val="false"/>
                <w:color w:val="1A1A2E"/>
                <w:sz w:val="21"/>
                <w:szCs w:val="21"/>
              </w:rPr>
              <w:t xml:space="preserve">26.18%</w:t>
            </w:r>
          </w:p>
        </w:tc>
        <w:tc>
          <w:tcPr>
            <w:tcW w:type="dxa" w:w="2600"/>
            <w:shd w:fill="FFFFFF" w:val="clear"/>
            <w:tcMar>
              <w:top w:type="dxa" w:w="100"/>
              <w:left w:type="dxa" w:w="120"/>
              <w:bottom w:type="dxa" w:w="100"/>
              <w:right w:type="dxa" w:w="120"/>
            </w:tcMar>
            <w:vAlign w:val="center"/>
          </w:tcPr>
          <w:p>
            <w:r>
              <w:rPr>
                <w:b w:val="false"/>
                <w:bCs w:val="false"/>
                <w:color w:val="1A1A2E"/>
                <w:sz w:val="21"/>
                <w:szCs w:val="21"/>
              </w:rPr>
              <w:t xml:space="preserve">9.08%</w:t>
            </w:r>
          </w:p>
        </w:tc>
      </w:tr>
      <w:tr>
        <w:tc>
          <w:tcPr>
            <w:tcW w:type="dxa" w:w="3000"/>
            <w:shd w:fill="F0F5FC" w:val="clear"/>
            <w:tcMar>
              <w:top w:type="dxa" w:w="100"/>
              <w:left w:type="dxa" w:w="120"/>
              <w:bottom w:type="dxa" w:w="100"/>
              <w:right w:type="dxa" w:w="120"/>
            </w:tcMar>
            <w:vAlign w:val="center"/>
          </w:tcPr>
          <w:p>
            <w:r>
              <w:rPr>
                <w:b w:val="false"/>
                <w:bCs w:val="false"/>
                <w:color w:val="1A1A2E"/>
                <w:sz w:val="21"/>
                <w:szCs w:val="21"/>
              </w:rPr>
              <w:t xml:space="preserve">tricycle</w:t>
            </w:r>
          </w:p>
        </w:tc>
        <w:tc>
          <w:tcPr>
            <w:tcW w:type="dxa" w:w="2000"/>
            <w:shd w:fill="F0F5FC" w:val="clear"/>
            <w:tcMar>
              <w:top w:type="dxa" w:w="100"/>
              <w:left w:type="dxa" w:w="120"/>
              <w:bottom w:type="dxa" w:w="100"/>
              <w:right w:type="dxa" w:w="120"/>
            </w:tcMar>
            <w:vAlign w:val="center"/>
          </w:tcPr>
          <w:p>
            <w:r>
              <w:rPr>
                <w:b w:val="false"/>
                <w:bCs w:val="false"/>
                <w:color w:val="1A1A2E"/>
                <w:sz w:val="21"/>
                <w:szCs w:val="21"/>
              </w:rPr>
              <w:t xml:space="preserve">1,045</w:t>
            </w:r>
          </w:p>
        </w:tc>
        <w:tc>
          <w:tcPr>
            <w:tcW w:type="dxa" w:w="2200"/>
            <w:shd w:fill="F0F5FC" w:val="clear"/>
            <w:tcMar>
              <w:top w:type="dxa" w:w="100"/>
              <w:left w:type="dxa" w:w="120"/>
              <w:bottom w:type="dxa" w:w="100"/>
              <w:right w:type="dxa" w:w="120"/>
            </w:tcMar>
            <w:vAlign w:val="center"/>
          </w:tcPr>
          <w:p>
            <w:r>
              <w:rPr>
                <w:b w:val="false"/>
                <w:bCs w:val="false"/>
                <w:color w:val="1A1A2E"/>
                <w:sz w:val="21"/>
                <w:szCs w:val="21"/>
              </w:rPr>
              <w:t xml:space="preserve">20.81%</w:t>
            </w:r>
          </w:p>
        </w:tc>
        <w:tc>
          <w:tcPr>
            <w:tcW w:type="dxa" w:w="2600"/>
            <w:shd w:fill="F0F5FC" w:val="clear"/>
            <w:tcMar>
              <w:top w:type="dxa" w:w="100"/>
              <w:left w:type="dxa" w:w="120"/>
              <w:bottom w:type="dxa" w:w="100"/>
              <w:right w:type="dxa" w:w="120"/>
            </w:tcMar>
            <w:vAlign w:val="center"/>
          </w:tcPr>
          <w:p>
            <w:r>
              <w:rPr>
                <w:b w:val="false"/>
                <w:bCs w:val="false"/>
                <w:color w:val="1A1A2E"/>
                <w:sz w:val="21"/>
                <w:szCs w:val="21"/>
              </w:rPr>
              <w:t xml:space="preserve">10.89%</w:t>
            </w:r>
          </w:p>
        </w:tc>
      </w:tr>
      <w:tr>
        <w:tc>
          <w:tcPr>
            <w:tcW w:type="dxa" w:w="3000"/>
            <w:shd w:fill="FFFFFF" w:val="clear"/>
            <w:tcMar>
              <w:top w:type="dxa" w:w="100"/>
              <w:left w:type="dxa" w:w="120"/>
              <w:bottom w:type="dxa" w:w="100"/>
              <w:right w:type="dxa" w:w="120"/>
            </w:tcMar>
            <w:vAlign w:val="center"/>
          </w:tcPr>
          <w:p>
            <w:r>
              <w:rPr>
                <w:b w:val="false"/>
                <w:bCs w:val="false"/>
                <w:color w:val="1A1A2E"/>
                <w:sz w:val="21"/>
                <w:szCs w:val="21"/>
              </w:rPr>
              <w:t xml:space="preserve">awning-tricycle</w:t>
            </w:r>
          </w:p>
        </w:tc>
        <w:tc>
          <w:tcPr>
            <w:tcW w:type="dxa" w:w="2000"/>
            <w:shd w:fill="FFFFFF" w:val="clear"/>
            <w:tcMar>
              <w:top w:type="dxa" w:w="100"/>
              <w:left w:type="dxa" w:w="120"/>
              <w:bottom w:type="dxa" w:w="100"/>
              <w:right w:type="dxa" w:w="120"/>
            </w:tcMar>
            <w:vAlign w:val="center"/>
          </w:tcPr>
          <w:p>
            <w:r>
              <w:rPr>
                <w:b w:val="false"/>
                <w:bCs w:val="false"/>
                <w:color w:val="1A1A2E"/>
                <w:sz w:val="21"/>
                <w:szCs w:val="21"/>
              </w:rPr>
              <w:t xml:space="preserve">532</w:t>
            </w:r>
          </w:p>
        </w:tc>
        <w:tc>
          <w:tcPr>
            <w:tcW w:type="dxa" w:w="2200"/>
            <w:shd w:fill="FFFFFF" w:val="clear"/>
            <w:tcMar>
              <w:top w:type="dxa" w:w="100"/>
              <w:left w:type="dxa" w:w="120"/>
              <w:bottom w:type="dxa" w:w="100"/>
              <w:right w:type="dxa" w:w="120"/>
            </w:tcMar>
            <w:vAlign w:val="center"/>
          </w:tcPr>
          <w:p>
            <w:r>
              <w:rPr>
                <w:b w:val="false"/>
                <w:bCs w:val="false"/>
                <w:color w:val="1A1A2E"/>
                <w:sz w:val="21"/>
                <w:szCs w:val="21"/>
              </w:rPr>
              <w:t xml:space="preserve">10.50%</w:t>
            </w:r>
          </w:p>
        </w:tc>
        <w:tc>
          <w:tcPr>
            <w:tcW w:type="dxa" w:w="2600"/>
            <w:shd w:fill="FFFFFF" w:val="clear"/>
            <w:tcMar>
              <w:top w:type="dxa" w:w="100"/>
              <w:left w:type="dxa" w:w="120"/>
              <w:bottom w:type="dxa" w:w="100"/>
              <w:right w:type="dxa" w:w="120"/>
            </w:tcMar>
            <w:vAlign w:val="center"/>
          </w:tcPr>
          <w:p>
            <w:r>
              <w:rPr>
                <w:b w:val="false"/>
                <w:bCs w:val="false"/>
                <w:color w:val="1A1A2E"/>
                <w:sz w:val="21"/>
                <w:szCs w:val="21"/>
              </w:rPr>
              <w:t xml:space="preserve">6.71%</w:t>
            </w:r>
          </w:p>
        </w:tc>
      </w:tr>
      <w:tr>
        <w:tc>
          <w:tcPr>
            <w:tcW w:type="dxa" w:w="3000"/>
            <w:shd w:fill="F0F5FC" w:val="clear"/>
            <w:tcMar>
              <w:top w:type="dxa" w:w="100"/>
              <w:left w:type="dxa" w:w="120"/>
              <w:bottom w:type="dxa" w:w="100"/>
              <w:right w:type="dxa" w:w="120"/>
            </w:tcMar>
            <w:vAlign w:val="center"/>
          </w:tcPr>
          <w:p>
            <w:r>
              <w:rPr>
                <w:b w:val="false"/>
                <w:bCs w:val="false"/>
                <w:color w:val="1A1A2E"/>
                <w:sz w:val="21"/>
                <w:szCs w:val="21"/>
              </w:rPr>
              <w:t xml:space="preserve">bicycle</w:t>
            </w:r>
          </w:p>
        </w:tc>
        <w:tc>
          <w:tcPr>
            <w:tcW w:type="dxa" w:w="2000"/>
            <w:shd w:fill="F0F5FC" w:val="clear"/>
            <w:tcMar>
              <w:top w:type="dxa" w:w="100"/>
              <w:left w:type="dxa" w:w="120"/>
              <w:bottom w:type="dxa" w:w="100"/>
              <w:right w:type="dxa" w:w="120"/>
            </w:tcMar>
            <w:vAlign w:val="center"/>
          </w:tcPr>
          <w:p>
            <w:r>
              <w:rPr>
                <w:b w:val="false"/>
                <w:bCs w:val="false"/>
                <w:color w:val="1A1A2E"/>
                <w:sz w:val="21"/>
                <w:szCs w:val="21"/>
              </w:rPr>
              <w:t xml:space="preserve">1,287</w:t>
            </w:r>
          </w:p>
        </w:tc>
        <w:tc>
          <w:tcPr>
            <w:tcW w:type="dxa" w:w="2200"/>
            <w:shd w:fill="F0F5FC" w:val="clear"/>
            <w:tcMar>
              <w:top w:type="dxa" w:w="100"/>
              <w:left w:type="dxa" w:w="120"/>
              <w:bottom w:type="dxa" w:w="100"/>
              <w:right w:type="dxa" w:w="120"/>
            </w:tcMar>
            <w:vAlign w:val="center"/>
          </w:tcPr>
          <w:p>
            <w:r>
              <w:rPr>
                <w:b w:val="false"/>
                <w:bCs w:val="false"/>
                <w:color w:val="1A1A2E"/>
                <w:sz w:val="21"/>
                <w:szCs w:val="21"/>
              </w:rPr>
              <w:t xml:space="preserve">8.48%</w:t>
            </w:r>
          </w:p>
        </w:tc>
        <w:tc>
          <w:tcPr>
            <w:tcW w:type="dxa" w:w="2600"/>
            <w:shd w:fill="F0F5FC" w:val="clear"/>
            <w:tcMar>
              <w:top w:type="dxa" w:w="100"/>
              <w:left w:type="dxa" w:w="120"/>
              <w:bottom w:type="dxa" w:w="100"/>
              <w:right w:type="dxa" w:w="120"/>
            </w:tcMar>
            <w:vAlign w:val="center"/>
          </w:tcPr>
          <w:p>
            <w:r>
              <w:rPr>
                <w:b w:val="false"/>
                <w:bCs w:val="false"/>
                <w:color w:val="1A1A2E"/>
                <w:sz w:val="21"/>
                <w:szCs w:val="21"/>
              </w:rPr>
              <w:t xml:space="preserve">3.34%</w:t>
            </w:r>
          </w:p>
        </w:tc>
      </w:tr>
    </w:tbl>
    <w:p>
      <w:pPr>
        <w:spacing w:after="240" w:before="80"/>
        <w:jc w:val="center"/>
      </w:pPr>
      <w:r>
        <w:rPr>
          <w:i/>
          <w:iCs/>
          <w:color w:val="5B6B8C"/>
          <w:sz w:val="18"/>
          <w:szCs w:val="18"/>
        </w:rPr>
        <w:t xml:space="preserve">Table 4: Per-class AP@50 and AP@50-95, sorted by AP@50 descending.</w:t>
      </w:r>
    </w:p>
    <w:p>
      <w:pPr>
        <w:spacing w:before="120"/>
        <w:jc w:val="center"/>
      </w:pPr>
      <w:r>
        <w:drawing>
          <wp:inline distT="0" distB="0" distL="0" distR="0">
            <wp:extent cx="4762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47975"/>
                    </a:xfrm>
                    <a:prstGeom prst="rect">
                      <a:avLst/>
                    </a:prstGeom>
                  </pic:spPr>
                </pic:pic>
              </a:graphicData>
            </a:graphic>
          </wp:inline>
        </w:drawing>
      </w:r>
    </w:p>
    <w:p>
      <w:pPr>
        <w:spacing w:after="240" w:before="80"/>
        <w:jc w:val="center"/>
      </w:pPr>
      <w:r>
        <w:rPr>
          <w:i/>
          <w:iCs/>
          <w:color w:val="5B6B8C"/>
          <w:sz w:val="18"/>
          <w:szCs w:val="18"/>
        </w:rPr>
        <w:t xml:space="preserve">Figure 1: Per-class AP@50 on the validation set.</w:t>
      </w:r>
    </w:p>
    <w:p>
      <w:pPr>
        <w:spacing w:after="160" w:line="300"/>
      </w:pPr>
      <w:r>
        <w:rPr>
          <w:color w:val="1A1A2E"/>
          <w:sz w:val="22"/>
          <w:szCs w:val="22"/>
        </w:rPr>
        <w:t xml:space="preserve">Performance varies sharply by class. The car class, the most frequent (14,064 instances) and visually largest category, reaches 75.0% AP@50 — more than double the overall mean. In contrast, bicycle (8.5% AP@50, 1,287 instances) and awning-tricycle (10.5% AP@50, 532 instances) perform far below average. Both are among the rarest classes in the validation set and are visually thin, small, and prone to confusion with visually similar categories (bicycle with motor; awning-tricycle with tricycle and van) when viewed from altitude. This pattern indicates that the model's overall mean is pulled down by a specific subset of rare, small, and visually ambiguous classes rather than reflecting uniformly weak performance across all categories — a class-imbalance effect rather than a general capacity limitation of the model.</w:t>
      </w:r>
    </w:p>
    <w:p>
      <w:pPr>
        <w:pStyle w:val="Heading2"/>
        <w:spacing w:after="120" w:before="260"/>
      </w:pPr>
      <w:r>
        <w:rPr>
          <w:b/>
          <w:bCs/>
          <w:color w:val="1E2761"/>
          <w:sz w:val="24"/>
          <w:szCs w:val="24"/>
        </w:rPr>
        <w:t xml:space="preserve">5.3 Inference Speed</w:t>
      </w:r>
    </w:p>
    <w:p>
      <w:pPr>
        <w:spacing w:after="160" w:line="300"/>
      </w:pPr>
      <w:r>
        <w:rPr>
          <w:color w:val="1A1A2E"/>
          <w:sz w:val="22"/>
          <w:szCs w:val="22"/>
        </w:rPr>
        <w:t xml:space="preserve">The trained model achieves 65.0 FPS (15.4 ms per image) on a Tesla T4 GPU at 640×640 input resolution, confirming that the nano variant meets real-time throughput requirements for video-rate UAV applications.</w:t>
      </w:r>
    </w:p>
    <w:p>
      <w:pPr>
        <w:pStyle w:val="Heading1"/>
        <w:spacing w:after="160" w:before="360"/>
      </w:pPr>
      <w:r>
        <w:rPr>
          <w:b/>
          <w:bCs/>
          <w:color w:val="1E2761"/>
          <w:sz w:val="30"/>
          <w:szCs w:val="30"/>
        </w:rPr>
        <w:t xml:space="preserve">6. Novelty: SAHI-Based Small-Object Enhancement</w:t>
      </w:r>
    </w:p>
    <w:p>
      <w:pPr>
        <w:spacing w:after="160" w:line="300"/>
      </w:pPr>
      <w:r>
        <w:rPr>
          <w:color w:val="1A1A2E"/>
          <w:sz w:val="22"/>
          <w:szCs w:val="22"/>
        </w:rPr>
        <w:t xml:space="preserve">To directly target the small-object weaknesses identified in Section 5.2, Slicing Aided Hyper Inference (SAHI) was integrated at inference time. SAHI slices each full-resolution image into overlapping 512×512 tiles (20% overlap), runs the trained YOLO11n weights on each tile at full resolution, and merges the resulting detections with non-maximum suppression to remove duplicates at tile boundaries. Because SAHI operates purely at inference time, it required no retraining or modification of the trained model.</w:t>
      </w:r>
    </w:p>
    <w:p>
      <w:pPr>
        <w:spacing w:after="160" w:line="300"/>
      </w:pPr>
      <w:r>
        <w:rPr>
          <w:color w:val="1A1A2E"/>
          <w:sz w:val="22"/>
          <w:szCs w:val="22"/>
        </w:rPr>
        <w:t xml:space="preserve">Sliced predictions were generated across the full validation set using this configuration. A quantitative standard-versus-SAHI comparison — computing mAP over the SAHI predictions and comparing directly against Table 3 — requires converting the VisDrone validation ground truth into COCO annotation format and evaluating with pycocotools; this evaluation step remains to be completed and is reported here as a limitation rather than a finished result. The expected outcome, consistent with published SAHI results on similar small-object benchmarks, is an improvement in recall on small, underrepresented classes (particularly bicycle and awning-tricycle) at the cost of reduced FPS, since each image now requires multiple tile-level forward passes instead of one.</w:t>
      </w:r>
    </w:p>
    <w:p>
      <w:pPr>
        <w:pStyle w:val="Heading1"/>
        <w:spacing w:after="160" w:before="360"/>
      </w:pPr>
      <w:r>
        <w:rPr>
          <w:b/>
          <w:bCs/>
          <w:color w:val="1E2761"/>
          <w:sz w:val="30"/>
          <w:szCs w:val="30"/>
        </w:rPr>
        <w:t xml:space="preserve">7. Challenges and Solutions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1E2761" w:val="clear"/>
            <w:tcMar>
              <w:top w:type="dxa" w:w="100"/>
              <w:left w:type="dxa" w:w="120"/>
              <w:bottom w:type="dxa" w:w="100"/>
              <w:right w:type="dxa" w:w="120"/>
            </w:tcMar>
            <w:vAlign w:val="center"/>
          </w:tcPr>
          <w:p>
            <w:r>
              <w:rPr>
                <w:b/>
                <w:bCs/>
                <w:color w:val="FFFFFF"/>
                <w:sz w:val="21"/>
                <w:szCs w:val="21"/>
              </w:rPr>
              <w:t xml:space="preserve">Challenge</w:t>
            </w:r>
          </w:p>
        </w:tc>
        <w:tc>
          <w:tcPr>
            <w:tcW w:type="dxa" w:w="5200"/>
            <w:shd w:fill="1E2761" w:val="clear"/>
            <w:tcMar>
              <w:top w:type="dxa" w:w="100"/>
              <w:left w:type="dxa" w:w="120"/>
              <w:bottom w:type="dxa" w:w="100"/>
              <w:right w:type="dxa" w:w="120"/>
            </w:tcMar>
            <w:vAlign w:val="center"/>
          </w:tcPr>
          <w:p>
            <w:r>
              <w:rPr>
                <w:b/>
                <w:bCs/>
                <w:color w:val="FFFFFF"/>
                <w:sz w:val="21"/>
                <w:szCs w:val="21"/>
              </w:rPr>
              <w:t xml:space="preserve">Approach Taken</w:t>
            </w:r>
          </w:p>
        </w:tc>
      </w:tr>
      <w:tr>
        <w:tc>
          <w:tcPr>
            <w:tcW w:type="dxa" w:w="4600"/>
            <w:shd w:fill="FFFFFF" w:val="clear"/>
            <w:tcMar>
              <w:top w:type="dxa" w:w="100"/>
              <w:left w:type="dxa" w:w="120"/>
              <w:bottom w:type="dxa" w:w="100"/>
              <w:right w:type="dxa" w:w="120"/>
            </w:tcMar>
            <w:vAlign w:val="center"/>
          </w:tcPr>
          <w:p>
            <w:r>
              <w:rPr>
                <w:b w:val="false"/>
                <w:bCs w:val="false"/>
                <w:color w:val="1A1A2E"/>
                <w:sz w:val="21"/>
                <w:szCs w:val="21"/>
              </w:rPr>
              <w:t xml:space="preserve">Tiny, heavily occluded objects</w:t>
            </w:r>
          </w:p>
        </w:tc>
        <w:tc>
          <w:tcPr>
            <w:tcW w:type="dxa" w:w="5200"/>
            <w:shd w:fill="FFFFFF" w:val="clear"/>
            <w:tcMar>
              <w:top w:type="dxa" w:w="100"/>
              <w:left w:type="dxa" w:w="120"/>
              <w:bottom w:type="dxa" w:w="100"/>
              <w:right w:type="dxa" w:w="120"/>
            </w:tcMar>
            <w:vAlign w:val="center"/>
          </w:tcPr>
          <w:p>
            <w:r>
              <w:rPr>
                <w:b w:val="false"/>
                <w:bCs w:val="false"/>
                <w:color w:val="1A1A2E"/>
                <w:sz w:val="21"/>
                <w:szCs w:val="21"/>
              </w:rPr>
              <w:t xml:space="preserve">SAHI tiled inference at full resolution per tile</w:t>
            </w:r>
          </w:p>
        </w:tc>
      </w:tr>
      <w:tr>
        <w:tc>
          <w:tcPr>
            <w:tcW w:type="dxa" w:w="4600"/>
            <w:shd w:fill="F0F5FC" w:val="clear"/>
            <w:tcMar>
              <w:top w:type="dxa" w:w="100"/>
              <w:left w:type="dxa" w:w="120"/>
              <w:bottom w:type="dxa" w:w="100"/>
              <w:right w:type="dxa" w:w="120"/>
            </w:tcMar>
            <w:vAlign w:val="center"/>
          </w:tcPr>
          <w:p>
            <w:r>
              <w:rPr>
                <w:b w:val="false"/>
                <w:bCs w:val="false"/>
                <w:color w:val="1A1A2E"/>
                <w:sz w:val="21"/>
                <w:szCs w:val="21"/>
              </w:rPr>
              <w:t xml:space="preserve">Severe class imbalance across ten categories</w:t>
            </w:r>
          </w:p>
        </w:tc>
        <w:tc>
          <w:tcPr>
            <w:tcW w:type="dxa" w:w="5200"/>
            <w:shd w:fill="F0F5FC" w:val="clear"/>
            <w:tcMar>
              <w:top w:type="dxa" w:w="100"/>
              <w:left w:type="dxa" w:w="120"/>
              <w:bottom w:type="dxa" w:w="100"/>
              <w:right w:type="dxa" w:w="120"/>
            </w:tcMar>
            <w:vAlign w:val="center"/>
          </w:tcPr>
          <w:p>
            <w:r>
              <w:rPr>
                <w:b w:val="false"/>
                <w:bCs w:val="false"/>
                <w:color w:val="1A1A2E"/>
                <w:sz w:val="21"/>
                <w:szCs w:val="21"/>
              </w:rPr>
              <w:t xml:space="preserve">Per-class AP reporting to surface, rather than mask, weak classes</w:t>
            </w:r>
          </w:p>
        </w:tc>
      </w:tr>
      <w:tr>
        <w:tc>
          <w:tcPr>
            <w:tcW w:type="dxa" w:w="4600"/>
            <w:shd w:fill="FFFFFF" w:val="clear"/>
            <w:tcMar>
              <w:top w:type="dxa" w:w="100"/>
              <w:left w:type="dxa" w:w="120"/>
              <w:bottom w:type="dxa" w:w="100"/>
              <w:right w:type="dxa" w:w="120"/>
            </w:tcMar>
            <w:vAlign w:val="center"/>
          </w:tcPr>
          <w:p>
            <w:r>
              <w:rPr>
                <w:b w:val="false"/>
                <w:bCs w:val="false"/>
                <w:color w:val="1A1A2E"/>
                <w:sz w:val="21"/>
                <w:szCs w:val="21"/>
              </w:rPr>
              <w:t xml:space="preserve">Google Colab session and GPU time limits</w:t>
            </w:r>
          </w:p>
        </w:tc>
        <w:tc>
          <w:tcPr>
            <w:tcW w:type="dxa" w:w="5200"/>
            <w:shd w:fill="FFFFFF" w:val="clear"/>
            <w:tcMar>
              <w:top w:type="dxa" w:w="100"/>
              <w:left w:type="dxa" w:w="120"/>
              <w:bottom w:type="dxa" w:w="100"/>
              <w:right w:type="dxa" w:w="120"/>
            </w:tcMar>
            <w:vAlign w:val="center"/>
          </w:tcPr>
          <w:p>
            <w:r>
              <w:rPr>
                <w:b w:val="false"/>
                <w:bCs w:val="false"/>
                <w:color w:val="1A1A2E"/>
                <w:sz w:val="21"/>
                <w:szCs w:val="21"/>
              </w:rPr>
              <w:t xml:space="preserve">Google Drive checkpointing with early stopping (patience = 20)</w:t>
            </w:r>
          </w:p>
        </w:tc>
      </w:tr>
      <w:tr>
        <w:tc>
          <w:tcPr>
            <w:tcW w:type="dxa" w:w="4600"/>
            <w:shd w:fill="F0F5FC" w:val="clear"/>
            <w:tcMar>
              <w:top w:type="dxa" w:w="100"/>
              <w:left w:type="dxa" w:w="120"/>
              <w:bottom w:type="dxa" w:w="100"/>
              <w:right w:type="dxa" w:w="120"/>
            </w:tcMar>
            <w:vAlign w:val="center"/>
          </w:tcPr>
          <w:p>
            <w:r>
              <w:rPr>
                <w:b w:val="false"/>
                <w:bCs w:val="false"/>
                <w:color w:val="1A1A2E"/>
                <w:sz w:val="21"/>
                <w:szCs w:val="21"/>
              </w:rPr>
              <w:t xml:space="preserve">Extremely dense, crowded scenes</w:t>
            </w:r>
          </w:p>
        </w:tc>
        <w:tc>
          <w:tcPr>
            <w:tcW w:type="dxa" w:w="5200"/>
            <w:shd w:fill="F0F5FC" w:val="clear"/>
            <w:tcMar>
              <w:top w:type="dxa" w:w="100"/>
              <w:left w:type="dxa" w:w="120"/>
              <w:bottom w:type="dxa" w:w="100"/>
              <w:right w:type="dxa" w:w="120"/>
            </w:tcMar>
            <w:vAlign w:val="center"/>
          </w:tcPr>
          <w:p>
            <w:r>
              <w:rPr>
                <w:b w:val="false"/>
                <w:bCs w:val="false"/>
                <w:color w:val="1A1A2E"/>
                <w:sz w:val="21"/>
                <w:szCs w:val="21"/>
              </w:rPr>
              <w:t xml:space="preserve">Evaluation at native training resolution with a higher-resolution validation pass identified as future work</w:t>
            </w:r>
          </w:p>
        </w:tc>
      </w:tr>
    </w:tbl>
    <w:p>
      <w:pPr>
        <w:spacing w:after="240" w:before="80"/>
        <w:jc w:val="center"/>
      </w:pPr>
      <w:r>
        <w:rPr>
          <w:i/>
          <w:iCs/>
          <w:color w:val="5B6B8C"/>
          <w:sz w:val="18"/>
          <w:szCs w:val="18"/>
        </w:rPr>
        <w:t xml:space="preserve">Table 5: Project challenges and the corresponding approach.</w:t>
      </w:r>
    </w:p>
    <w:p>
      <w:pPr>
        <w:pStyle w:val="Heading1"/>
        <w:spacing w:after="160" w:before="360"/>
      </w:pPr>
      <w:r>
        <w:rPr>
          <w:b/>
          <w:bCs/>
          <w:color w:val="1E2761"/>
          <w:sz w:val="30"/>
          <w:szCs w:val="30"/>
        </w:rPr>
        <w:t xml:space="preserve">8. Conclusion and Future Work</w:t>
      </w:r>
    </w:p>
    <w:p>
      <w:pPr>
        <w:spacing w:after="160" w:line="300"/>
      </w:pPr>
      <w:r>
        <w:rPr>
          <w:color w:val="1A1A2E"/>
          <w:sz w:val="22"/>
          <w:szCs w:val="22"/>
        </w:rPr>
        <w:t xml:space="preserve">This project fine-tuned YOLO11n on the VisDrone2019-DET benchmark and evaluated it with a complete metric suite rather than a single headline number, achieving an mAP@50 of 32.4%, mAP@50-95 of 18.4%, and real-time inference at 65.0 FPS. Per-class analysis identified specific, explainable weaknesses — rare and visually small classes such as bicycle and awning-tricycle — rather than uniform underperformance. SAHI tiled inference was integrated as a targeted, inference-time enhancement aimed directly at these weaknesses; its full quantitative evaluation against a COCO-format ground truth remains as near-term follow-up work.</w:t>
      </w:r>
    </w:p>
    <w:p>
      <w:pPr>
        <w:pStyle w:val="Heading2"/>
        <w:spacing w:after="120" w:before="260"/>
      </w:pPr>
      <w:r>
        <w:rPr>
          <w:b/>
          <w:bCs/>
          <w:color w:val="1E2761"/>
          <w:sz w:val="24"/>
          <w:szCs w:val="24"/>
        </w:rPr>
        <w:t xml:space="preserve">8.1 Future Work</w:t>
      </w:r>
    </w:p>
    <w:p>
      <w:pPr>
        <w:pStyle w:val="ListParagraph"/>
        <w:numPr>
          <w:ilvl w:val="0"/>
          <w:numId w:val="2"/>
        </w:numPr>
        <w:spacing w:after="90"/>
      </w:pPr>
      <w:r>
        <w:rPr>
          <w:color w:val="1A1A2E"/>
          <w:sz w:val="22"/>
          <w:szCs w:val="22"/>
        </w:rPr>
        <w:t xml:space="preserve">Complete the standard-vs-SAHI quantitative comparison using pycocotools COCOeval.</w:t>
      </w:r>
    </w:p>
    <w:p>
      <w:pPr>
        <w:pStyle w:val="ListParagraph"/>
        <w:numPr>
          <w:ilvl w:val="0"/>
          <w:numId w:val="2"/>
        </w:numPr>
        <w:spacing w:after="90"/>
      </w:pPr>
      <w:r>
        <w:rPr>
          <w:color w:val="1A1A2E"/>
          <w:sz w:val="22"/>
          <w:szCs w:val="22"/>
        </w:rPr>
        <w:t xml:space="preserve">Compare YOLO11 variants (small, medium) to characterize the accuracy-versus-latency curve beyond the nano baseline.</w:t>
      </w:r>
    </w:p>
    <w:p>
      <w:pPr>
        <w:pStyle w:val="ListParagraph"/>
        <w:numPr>
          <w:ilvl w:val="0"/>
          <w:numId w:val="2"/>
        </w:numPr>
        <w:spacing w:after="90"/>
      </w:pPr>
      <w:r>
        <w:rPr>
          <w:color w:val="1A1A2E"/>
          <w:sz w:val="22"/>
          <w:szCs w:val="22"/>
        </w:rPr>
        <w:t xml:space="preserve">Apply class-balancing strategies (e.g. class-weighted loss or oversampling) to the weakest categories.</w:t>
      </w:r>
    </w:p>
    <w:p>
      <w:pPr>
        <w:pStyle w:val="ListParagraph"/>
        <w:numPr>
          <w:ilvl w:val="0"/>
          <w:numId w:val="2"/>
        </w:numPr>
        <w:spacing w:after="90"/>
      </w:pPr>
      <w:r>
        <w:rPr>
          <w:color w:val="1A1A2E"/>
          <w:sz w:val="22"/>
          <w:szCs w:val="22"/>
        </w:rPr>
        <w:t xml:space="preserve">Benchmark real-time video inference and edge deployment feasibility (e.g. on a Jetson-class device).</w:t>
      </w:r>
    </w:p>
    <w:p>
      <w:pPr>
        <w:pStyle w:val="Heading1"/>
        <w:spacing w:after="160" w:before="360"/>
      </w:pPr>
      <w:r>
        <w:rPr>
          <w:b/>
          <w:bCs/>
          <w:color w:val="1E2761"/>
          <w:sz w:val="30"/>
          <w:szCs w:val="30"/>
        </w:rPr>
        <w:t xml:space="preserve">References</w:t>
      </w:r>
    </w:p>
    <w:p>
      <w:pPr>
        <w:spacing w:after="160" w:line="300"/>
      </w:pPr>
      <w:r>
        <w:rPr>
          <w:color w:val="1A1A2E"/>
          <w:sz w:val="20"/>
          <w:szCs w:val="20"/>
        </w:rPr>
        <w:t xml:space="preserve">Zhu, P., Wen, L., Du, D., Bian, X., Fan, H., Hu, Q., &amp; Ling, H. (2021). Detection and Tracking Meet Drones Challenge. IEEE Transactions on Pattern Analysis and Machine Intelligence.</w:t>
      </w:r>
    </w:p>
    <w:p>
      <w:pPr>
        <w:spacing w:after="160" w:line="300"/>
      </w:pPr>
      <w:r>
        <w:rPr>
          <w:color w:val="1A1A2E"/>
          <w:sz w:val="20"/>
          <w:szCs w:val="20"/>
        </w:rPr>
        <w:t xml:space="preserve">Akyon, F. C., Altinuc, S. O., &amp; Temizel, A. (2022). Slicing Aided Hyper Inference and Fine-tuning for Small Object Detection. IEEE International Conference on Image Processing (ICIP).</w:t>
      </w:r>
    </w:p>
    <w:p>
      <w:pPr>
        <w:spacing w:after="160" w:line="300"/>
      </w:pPr>
      <w:r>
        <w:rPr>
          <w:color w:val="1A1A2E"/>
          <w:sz w:val="20"/>
          <w:szCs w:val="20"/>
        </w:rPr>
        <w:t xml:space="preserve">Ultralytics. (2024–2026). YOLO11 Documentation. https://docs.ultralytics.com</w:t>
      </w:r>
    </w:p>
    <w:p>
      <w:pPr>
        <w:spacing w:after="160" w:line="300"/>
      </w:pPr>
      <w:r>
        <w:rPr>
          <w:color w:val="1A1A2E"/>
          <w:sz w:val="20"/>
          <w:szCs w:val="20"/>
        </w:rPr>
        <w:t xml:space="preserve">Ultralytics. VisDrone Dataset Documentation. https://docs.ultralytics.com/datasets/detect/visdrone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6"/>
        <w:szCs w:val="16"/>
      </w:rPr>
      <w:t xml:space="preserve">Aerial Object Detection — YOLO11n on VisDrone2019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2f4ac3cd763ac02869bdfd4fcb4be891ac3c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2026-07-18T18:54:58.506Z</dcterms:created>
  <dcterms:modified xsi:type="dcterms:W3CDTF">2026-07-18T18:54:58.506Z</dcterms:modified>
</cp:coreProperties>
</file>

<file path=docProps/custom.xml><?xml version="1.0" encoding="utf-8"?>
<Properties xmlns="http://schemas.openxmlformats.org/officeDocument/2006/custom-properties" xmlns:vt="http://schemas.openxmlformats.org/officeDocument/2006/docPropsVTypes"/>
</file>