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Additional fields (if available) — please let us know if these can be shared, and why they help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ff0000"/>
        </w:rPr>
      </w:pPr>
      <w:sdt>
        <w:sdtPr>
          <w:id w:val="-1903267308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1.</w:t>
            <w:tab/>
            <w:t xml:space="preserve">Breakdowns: network / campaign / adset / geo / platform / creative_id → enables per-slice ROAS forecasts, smarter budget reallocation, and clear creative winners/losers. - </w:t>
          </w:r>
        </w:sdtContent>
      </w:sdt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We will leave the Creative analysis on the roadmap for now. Will work on the template with other requested parameters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mo" w:cs="Arimo" w:eastAsia="Arimo" w:hAnsi="Arimo"/>
          <w:b w:val="1"/>
          <w:color w:val="ff0000"/>
        </w:rPr>
      </w:pPr>
      <w:r w:rsidDel="00000000" w:rsidR="00000000" w:rsidRPr="00000000">
        <w:rPr>
          <w:rtl w:val="0"/>
        </w:rPr>
        <w:tab/>
        <w:t xml:space="preserve">2.</w:t>
        <w:tab/>
        <w:t xml:space="preserve">Impressions &amp; clicks (CTR/CVR): early creative quality signal, improves CPI predictability, helps detect click-spam. - 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We will leave on the roadmap for now as this is taken care my adjust fraud tools. We are building addon product for Adjust which will be used for post-install prediction/analysis.   </w:t>
      </w:r>
    </w:p>
    <w:p w:rsidR="00000000" w:rsidDel="00000000" w:rsidP="00000000" w:rsidRDefault="00000000" w:rsidRPr="00000000" w14:paraId="00000006">
      <w:pPr>
        <w:rPr>
          <w:rFonts w:ascii="Arimo" w:cs="Arimo" w:eastAsia="Arimo" w:hAnsi="Arimo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 xml:space="preserve">3.</w:t>
        <w:tab/>
        <w:t xml:space="preserve">Ad revenue by format &amp; network (+ eCPM, fill rate): separates rewarded vs interstitial impact, sharpens LTV, optimizes ad load/mediation mix.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We don’t want to drill down ad format level . High level, it will be Ad revenue , IAP revenue, Subscription Revenue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sdt>
        <w:sdtPr>
          <w:id w:val="-188869593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4.</w:t>
            <w:tab/>
            <w:t xml:space="preserve">Payer signals: payer rate by day, time-to-first-purchase, SKU/price (gross vs net) → tighter monetization curves and precise ARPPU/ARPU lift targets.</w:t>
          </w:r>
        </w:sdtContent>
      </w:sdt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Yes , Need to align this as per setup on Adjust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sdt>
        <w:sdtPr>
          <w:id w:val="-238181792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5.</w:t>
            <w:tab/>
            <w:t xml:space="preserve">Engagement &amp; gameplay: sessions/day, avg session length, tutorial/level completion, time-to-level → predicts retention slope, surfaces churn hotspots, guides concrete difficulty tweaks. </w:t>
          </w:r>
        </w:sdtContent>
      </w:sdt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Not sure all these data points are available on Adjust..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sdt>
        <w:sdtPr>
          <w:id w:val="221143419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6.</w:t>
            <w:tab/>
            <w:t xml:space="preserve">iOS/quality hygiene: SKAN postbacks, ATT opt-in rate, fraud/reinstall flags → correct attribution/ROAS on iOS and cleaner, unbiased cohorts. </w:t>
          </w:r>
        </w:sdtContent>
      </w:sdt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We will leave on the roadmap for now as this is taken care my adjust fraud tools.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Phase 1 (pilot) — short proposal (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Should we use a conversational AI agent as well?.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1.</w:t>
        <w:tab/>
        <w:t xml:space="preserve">Confirm scope: target apps/platforms/geos/campaigns and a D30 ROAS goal.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 xml:space="preserve">2.</w:t>
        <w:tab/>
        <w:t xml:space="preserve">Deliver a 5-tab upload template (UA, retention, revenue, ad-format, gameplay).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3.</w:t>
        <w:tab/>
        <w:t xml:space="preserve">Import recent history; normalize currency and timezone.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Currency will be USD and Timezone : UTC.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 xml:space="preserve">4.</w:t>
        <w:tab/>
        <w:t xml:space="preserve">Build install-cohort tables (D0–D30 retention and cumulative ARPU).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 xml:space="preserve">5.</w:t>
        <w:tab/>
        <w:t xml:space="preserve">Fit Day-3 forecasting model to project D15/D30/D45/D90 ROAS with confidence bands.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6.</w:t>
        <w:tab/>
        <w:t xml:space="preserve">Run KPI gap analysis vs target (retention, ARPU, CPI deltas).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7.</w:t>
        <w:tab/>
        <w:t xml:space="preserve">Produce recommendation set: budget shifts, geo/campaign scaling, creative tests, game tweaks.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8.</w:t>
        <w:tab/>
        <w:t xml:space="preserve">Add basic “traffic-cop” alerts for CPI/retention drift.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9.</w:t>
        <w:tab/>
        <w:t xml:space="preserve">Validate with backtests and document accuracy &amp; assumptions.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10.</w:t>
        <w:tab/>
        <w:t xml:space="preserve">Share a concise readout and align on Phase 2 automation scope.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We’re also preparing the full project proposal covering end-to-end architecture, automation, security, timelines, and pricing.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9PQmlEq9VFpmwmxhVNtVe+CKeQ==">CgMxLjAaJAoBMBIfCh0IB0IZCgVBcmltbxIQQXJpYWwgVW5pY29kZSBNUxokCgExEh8KHQgHQhkKBUFyaW1vEhBBcmlhbCBVbmljb2RlIE1TGiQKATISHwodCAdCGQoFQXJpbW8SEEFyaWFsIFVuaWNvZGUgTVMaJAoBMxIfCh0IB0IZCgVBcmltbxIQQXJpYWwgVW5pY29kZSBNUzgAciExY0tyUW1JQVV4eE1GNTRmS21QOHlBYnhkVlExWUhwdjA=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