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Constructing Screen Time</w:t>
      </w:r>
    </w:p>
    <w:p>
      <w:pPr>
        <w:pStyle w:val="Subtitle"/>
      </w:pPr>
      <w:r>
        <w:t>From Typed Android Events to Cross-Platform Measures</w:t>
      </w:r>
    </w:p>
    <w:p>
      <w:pPr>
        <w:spacing w:before="20" w:after="280"/>
        <w:pBdr>
          <w:bottom w:val="single" w:sz="18" w:space="1" w:color="0E8A82"/>
        </w:pBdr>
      </w:pPr>
    </w:p>
    <w:p>
      <w:r>
        <w:rPr>
          <w:b/>
        </w:rPr>
        <w:t>Detailed manuscript outline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180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b/>
                <w:color w:val="4B5670"/>
                <w:sz w:val="16"/>
              </w:rPr>
              <w:t>STATUS</w:t>
            </w:r>
          </w:p>
        </w:tc>
        <w:tc>
          <w:tcPr>
            <w:tcW w:type="dxa" w:w="8208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color w:val="0F1729"/>
                <w:sz w:val="19"/>
              </w:rPr>
              <w:t>Milestone-zero authoring plan; headline empirical analyses unrun</w:t>
            </w:r>
          </w:p>
        </w:tc>
      </w:tr>
      <w:tr>
        <w:tc>
          <w:tcPr>
            <w:tcW w:type="dxa" w:w="180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b/>
                <w:color w:val="4B5670"/>
                <w:sz w:val="16"/>
              </w:rPr>
              <w:t>PAPER TYPE</w:t>
            </w:r>
          </w:p>
        </w:tc>
        <w:tc>
          <w:tcPr>
            <w:tcW w:type="dxa" w:w="8208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color w:val="0F1729"/>
                <w:sz w:val="19"/>
              </w:rPr>
              <w:t>Measurement methods and empirical validation</w:t>
            </w:r>
          </w:p>
        </w:tc>
      </w:tr>
      <w:tr>
        <w:tc>
          <w:tcPr>
            <w:tcW w:type="dxa" w:w="180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b/>
                <w:color w:val="4B5670"/>
                <w:sz w:val="16"/>
              </w:rPr>
              <w:t>PREPARED</w:t>
            </w:r>
          </w:p>
        </w:tc>
        <w:tc>
          <w:tcPr>
            <w:tcW w:type="dxa" w:w="8208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color w:val="0F1729"/>
                <w:sz w:val="19"/>
              </w:rPr>
              <w:t>11 August 2026</w:t>
            </w:r>
          </w:p>
        </w:tc>
      </w:tr>
      <w:tr>
        <w:tc>
          <w:tcPr>
            <w:tcW w:type="dxa" w:w="180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b/>
                <w:color w:val="4B5670"/>
                <w:sz w:val="16"/>
              </w:rPr>
              <w:t>PRIMARY SOURCE</w:t>
            </w:r>
          </w:p>
        </w:tc>
        <w:tc>
          <w:tcPr>
            <w:tcW w:type="dxa" w:w="8208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color w:val="0F1729"/>
                <w:sz w:val="19"/>
              </w:rPr>
              <w:t>docs/paper/paper-outline.md</w:t>
            </w:r>
          </w:p>
        </w:tc>
      </w:tr>
    </w:tbl>
    <w:p>
      <w:pPr>
        <w:pStyle w:val="Callout"/>
        <w:shd w:fill="FFF4E5"/>
        <w:pBdr>
          <w:left w:val="single" w:sz="18" w:space="6" w:color="F4B266"/>
        </w:pBdr>
      </w:pPr>
      <w:r>
        <w:rPr>
          <w:b/>
        </w:rPr>
        <w:t>Evidence warning.</w:t>
      </w:r>
      <w:r>
        <w:t xml:space="preserve"> This is an authoring outline, not a result report. Empty Results fields are deliberate. The 60-minute mass-conservation equality is a mathematical identity, not empirical evidence of accurate within-hour reconstruction.</w:t>
      </w:r>
    </w:p>
    <w:p>
      <w:r>
        <w:br w:type="page"/>
      </w:r>
    </w:p>
    <w:p>
      <w:pPr>
        <w:keepNext/>
        <w:spacing w:before="120" w:after="140"/>
      </w:pPr>
      <w:r>
        <w:rPr>
          <w:rFonts w:ascii="Arial" w:hAnsi="Arial"/>
          <w:b/>
          <w:color w:val="1F2A44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and update this field in Word.</w:t>
        <w:fldChar w:fldCharType="end"/>
      </w:r>
    </w:p>
    <w:p>
      <w:r>
        <w:br w:type="page"/>
      </w:r>
    </w:p>
    <w:p>
      <w:pPr>
        <w:pStyle w:val="Heading1"/>
        <w:pageBreakBefore w:val="0"/>
      </w:pPr>
      <w:r>
        <w:t>Abstract</w:t>
      </w:r>
    </w:p>
    <w:p>
      <w:r>
        <w:rPr>
          <w:b/>
        </w:rPr>
        <w:t>Target length:</w:t>
      </w:r>
      <w:r>
        <w:t xml:space="preserve"> 250-300 words. Use a conventional Background, Objective, Methods, Results, Conclusion sequence without visible subheadings unless the target journal requires them.</w:t>
      </w:r>
    </w:p>
    <w:p>
      <w:pPr>
        <w:pStyle w:val="Heading2"/>
      </w:pPr>
      <w:r>
        <w:t>Background</w:t>
      </w:r>
    </w:p>
    <w:p>
      <w:pPr>
        <w:pStyle w:val="ListBullet"/>
      </w:pPr>
      <w:r>
        <w:t>Smartphone use is often described as objectively measured, but event logs, vendor summaries, and screenshots expose different signals and already encode different definitions of use.</w:t>
      </w:r>
    </w:p>
    <w:p>
      <w:pPr>
        <w:pStyle w:val="ListBullet"/>
      </w:pPr>
      <w:r>
        <w:t>Typed Android events do not become app episodes, device sessions, daily totals, or participant summaries until analysts choose event, pairing, grouping, time, denominator, and cleaning rules.</w:t>
      </w:r>
    </w:p>
    <w:p>
      <w:pPr>
        <w:pStyle w:val="ListBullet"/>
      </w:pPr>
      <w:r>
        <w:t>iOS Screen Time screenshots expose rendered hourly summaries whose upstream aggregation rule is not auditable from the screenshot. This creates both a comparability problem and a temporal resolution problem.</w:t>
      </w:r>
    </w:p>
    <w:p>
      <w:pPr>
        <w:pStyle w:val="Heading2"/>
      </w:pPr>
      <w:r>
        <w:t>Objective</w:t>
      </w:r>
    </w:p>
    <w:p>
      <w:pPr>
        <w:pStyle w:val="ListBullet"/>
      </w:pPr>
      <w:r>
        <w:t>Formalize the complete event-to-summary decision vector.</w:t>
      </w:r>
    </w:p>
    <w:p>
      <w:pPr>
        <w:pStyle w:val="ListBullet"/>
      </w:pPr>
      <w:r>
        <w:t>determine which components published methods disclose;</w:t>
      </w:r>
    </w:p>
    <w:p>
      <w:pPr>
        <w:pStyle w:val="ListBullet"/>
      </w:pPr>
      <w:r>
        <w:t>execute scientifically admissible Android bindings on common data;</w:t>
      </w:r>
    </w:p>
    <w:p>
      <w:pPr>
        <w:pStyle w:val="ListBullet"/>
      </w:pPr>
      <w:r>
        <w:t>test how one-hour observation changes recoverable temporal information; and</w:t>
      </w:r>
    </w:p>
    <w:p>
      <w:pPr>
        <w:pStyle w:val="ListBullet"/>
      </w:pPr>
      <w:r>
        <w:t>evaluate whether measurement choices alter descriptive and substantive conclusions.</w:t>
      </w:r>
    </w:p>
    <w:p>
      <w:pPr>
        <w:pStyle w:val="Heading2"/>
      </w:pPr>
      <w:r>
        <w:t>Methods</w:t>
      </w:r>
    </w:p>
    <w:p>
      <w:pPr>
        <w:pStyle w:val="ListBullet"/>
      </w:pPr>
      <w:r>
        <w:t>Study 1: fixed literature census plus expanded discovery corpus, coded with an access-aware 21-component rubric.</w:t>
      </w:r>
    </w:p>
    <w:p>
      <w:pPr>
        <w:pStyle w:val="ListBullet"/>
      </w:pPr>
      <w:r>
        <w:t>Study 2: source-reviewed Android method bindings executed on the same authorized event streams, with explicit conformance, refusal, and provenance.</w:t>
      </w:r>
    </w:p>
    <w:p>
      <w:pPr>
        <w:pStyle w:val="ListBullet"/>
      </w:pPr>
      <w:r>
        <w:t>Study 3: iOS Screen Time screenshot extraction and quality control, paired with an Android coarsening experiment that converts fine-resolution event-derived occupancy to hourly totals and evaluates recovery at 1, 5, 10, 15, 30, and 60 minutes.</w:t>
      </w:r>
    </w:p>
    <w:p>
      <w:pPr>
        <w:pStyle w:val="ListBullet"/>
      </w:pPr>
      <w:r>
        <w:t>Study 4: downstream sensitivity of associations, classifications, and conclusions.</w:t>
      </w:r>
    </w:p>
    <w:p>
      <w:pPr>
        <w:pStyle w:val="Heading2"/>
      </w:pPr>
      <w:r>
        <w:t>Results</w:t>
      </w:r>
    </w:p>
    <w:p>
      <w:r>
        <w:rPr>
          <w:rFonts w:ascii="Liberation Mono" w:hAnsi="Liberation Mono"/>
          <w:color w:val="1F2A44"/>
          <w:sz w:val="18"/>
          <w:shd w:fill="EEF1F5"/>
        </w:rPr>
        <w:t>[LOCKED: report no magnitude until the relevant claim-ledger gates pass. The 60-minute mass-conservation equality is a mathematical identity, not an empirical accuracy result.]</w:t>
      </w:r>
    </w:p>
    <w:p>
      <w:pPr>
        <w:pStyle w:val="Heading2"/>
      </w:pPr>
      <w:r>
        <w:t>Conclusion</w:t>
      </w:r>
    </w:p>
    <w:p>
      <w:r>
        <w:rPr>
          <w:rFonts w:ascii="Liberation Mono" w:hAnsi="Liberation Mono"/>
          <w:color w:val="1F2A44"/>
          <w:sz w:val="18"/>
          <w:shd w:fill="EEF1F5"/>
        </w:rPr>
        <w:t>[CONDITIONAL: state only what the completed disclosure, conformance, Android multiverse, screenshot-validation, resolution, and downstream analyses support.]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Screen time is a constructed measure</w:t>
      </w:r>
    </w:p>
    <w:p>
      <w:pPr>
        <w:pStyle w:val="ListBullet"/>
      </w:pPr>
      <w:r>
        <w:t>Open with the distinction between observing a platform event and asserting continuous app or device use.</w:t>
      </w:r>
    </w:p>
    <w:p>
      <w:pPr>
        <w:pStyle w:val="ListBullet"/>
      </w:pPr>
      <w:r>
        <w:t>Explain the path from typed occurrences to event records, app episodes, device-use sessions, grouped app sessions, day-level totals, and cleaned participant summaries.</w:t>
      </w:r>
    </w:p>
    <w:p>
      <w:pPr>
        <w:pStyle w:val="ListBullet"/>
      </w:pPr>
      <w:r>
        <w:t>Show why an algorithm name alone does not identify a measure: numeric thresholds, boundary inclusivity, package policy, time zone, missing-event behavior, and cleaning are part of the binding.</w:t>
      </w:r>
    </w:p>
    <w:p>
      <w:pPr>
        <w:pStyle w:val="ListBullet"/>
      </w:pPr>
      <w:r>
        <w:t>Motivate the substantive stakes with child and family screen-time research, where minutes, temporal patterning, cutoffs, and associations can support different conclusions.</w:t>
      </w:r>
    </w:p>
    <w:p>
      <w:pPr>
        <w:pStyle w:val="Heading2"/>
      </w:pPr>
      <w:r>
        <w:t>1.2 Android and iOS expose different measurement problems</w:t>
      </w:r>
    </w:p>
    <w:p>
      <w:pPr>
        <w:pStyle w:val="ListBullet"/>
      </w:pPr>
      <w:r>
        <w:t xml:space="preserve">Android </w:t>
      </w:r>
      <w:r>
        <w:rPr>
          <w:rFonts w:ascii="Liberation Mono" w:hAnsi="Liberation Mono"/>
          <w:color w:val="1F2A44"/>
          <w:sz w:val="18"/>
          <w:shd w:fill="EEF1F5"/>
        </w:rPr>
        <w:t>UsageEvents</w:t>
      </w:r>
      <w:r>
        <w:t xml:space="preserve"> can expose typed, timestamped events that permit alternative auditable reconstructions.</w:t>
      </w:r>
    </w:p>
    <w:p>
      <w:pPr>
        <w:pStyle w:val="ListBullet"/>
      </w:pPr>
      <w:r>
        <w:t>Android Digital Wellbeing and iOS Screen Time expose vendor-computed summaries with hidden upstream decisions.</w:t>
      </w:r>
    </w:p>
    <w:p>
      <w:pPr>
        <w:pStyle w:val="ListBullet"/>
      </w:pPr>
      <w:r>
        <w:t>iOS Screen Time screenshot workflows commonly yield hourly bars and daily summaries, not the raw event stream from which those bars were computed.</w:t>
      </w:r>
    </w:p>
    <w:p>
      <w:pPr>
        <w:pStyle w:val="ListBullet"/>
      </w:pPr>
      <w:r>
        <w:t>Therefore, cross-platform pooling can combine different observation models even when both columns are labelled screen time.</w:t>
      </w:r>
    </w:p>
    <w:p>
      <w:pPr>
        <w:pStyle w:val="ListBullet"/>
      </w:pPr>
      <w:r>
        <w:t>Screenshots add a second measurement layer: capture compliance, page selection, cropping, OCR or human transcription, hour alignment, category mapping, and platform-version drift.</w:t>
      </w:r>
    </w:p>
    <w:p>
      <w:pPr>
        <w:pStyle w:val="Heading2"/>
      </w:pPr>
      <w:r>
        <w:t>1.3 Prior work and the unresolved gap</w:t>
      </w:r>
    </w:p>
    <w:p>
      <w:pPr>
        <w:pStyle w:val="ListBullet"/>
      </w:pPr>
      <w:r>
        <w:t>Review self-report versus device-derived measures without treating device-derived values as interpretation-free ground truth.</w:t>
      </w:r>
    </w:p>
    <w:p>
      <w:pPr>
        <w:pStyle w:val="ListBullet"/>
      </w:pPr>
      <w:r>
        <w:t>Review published Android event-reconstruction methods, device-session rules, grouping rules, cleaning rules, and downstream multiverse analyses.</w:t>
      </w:r>
    </w:p>
    <w:p>
      <w:pPr>
        <w:pStyle w:val="ListBullet"/>
      </w:pPr>
      <w:r>
        <w:t>Review iOS Screen Time donation, screenshot, forensic, and DeviceActivity routes, distinguishing rendered summaries from event-level stores and privacy-constrained APIs.</w:t>
      </w:r>
    </w:p>
    <w:p>
      <w:pPr>
        <w:pStyle w:val="ListBullet"/>
      </w:pPr>
      <w:r>
        <w:t>Review temporal coarsening and disaggregation validation in adjacent fields. The validation design - coarsen fine observations, reconstruct, and compare with retained fine observations - is established and must not be claimed as novel.</w:t>
      </w:r>
    </w:p>
    <w:p>
      <w:pPr>
        <w:pStyle w:val="ListBullet"/>
      </w:pPr>
      <w:r>
        <w:t>State the remaining contribution narrowly: an integrated, typed event-to-summary decision model; complete executable bindings; explicit failures and conformance; a same-stream Android comparison; and an explicit bridge to screenshot-derived one-hour observations.</w:t>
      </w:r>
    </w:p>
    <w:p>
      <w:pPr>
        <w:pStyle w:val="Heading2"/>
      </w:pPr>
      <w:r>
        <w:t>1.4 Research questions</w:t>
      </w:r>
    </w:p>
    <w:p>
      <w:pPr>
        <w:pStyle w:val="NumberedItem"/>
      </w:pPr>
      <w:r>
        <w:t xml:space="preserve">1. </w:t>
      </w:r>
      <w:r>
        <w:rPr>
          <w:b/>
        </w:rPr>
        <w:t>RQ1 - Decision structure.</w:t>
      </w:r>
      <w:r>
        <w:t xml:space="preserve"> Which decisions must be settled before typed Android events become app episodes, device-use sessions, grouped sessions, daily totals, and cleaned participant summaries?</w:t>
      </w:r>
    </w:p>
    <w:p>
      <w:pPr>
        <w:pStyle w:val="NumberedItem"/>
      </w:pPr>
      <w:r>
        <w:t xml:space="preserve">2. </w:t>
      </w:r>
      <w:r>
        <w:rPr>
          <w:b/>
        </w:rPr>
        <w:t>RQ2 - Disclosure and reproducibility.</w:t>
      </w:r>
      <w:r>
        <w:t xml:space="preserve"> Which decision components are declared, delegated, absent, not applicable, or undetermined in the fixed literature census and expanded corpus, conditional on source access?</w:t>
      </w:r>
    </w:p>
    <w:p>
      <w:pPr>
        <w:pStyle w:val="NumberedItem"/>
      </w:pPr>
      <w:r>
        <w:t xml:space="preserve">3. </w:t>
      </w:r>
      <w:r>
        <w:rPr>
          <w:b/>
        </w:rPr>
        <w:t>RQ3 - Complete-binding disagreement.</w:t>
      </w:r>
      <w:r>
        <w:t xml:space="preserve"> How much do source-faithful, scientifically admissible Android bindings disagree at episode, session, day, participant, and downstream-analysis levels?</w:t>
      </w:r>
    </w:p>
    <w:p>
      <w:pPr>
        <w:pStyle w:val="NumberedItem"/>
      </w:pPr>
      <w:r>
        <w:t xml:space="preserve">4. </w:t>
      </w:r>
      <w:r>
        <w:rPr>
          <w:b/>
        </w:rPr>
        <w:t>RQ4 - One-hour resolution reliability.</w:t>
      </w:r>
      <w:r>
        <w:t xml:space="preserve"> When fine-resolution Android event data are deliberately coarsened to hourly totals that mimic the temporal resolution available from iOS Screen Time screenshots, how well can within-hour placement and downstream temporal structure be recovered at 1, 5, 10, 15, 30, and 60 minutes?</w:t>
      </w:r>
    </w:p>
    <w:p>
      <w:pPr>
        <w:pStyle w:val="NumberedItem"/>
      </w:pPr>
      <w:r>
        <w:t xml:space="preserve">5. </w:t>
      </w:r>
      <w:r>
        <w:rPr>
          <w:b/>
        </w:rPr>
        <w:t>RQ5 - Cross-platform comparability.</w:t>
      </w:r>
      <w:r>
        <w:t xml:space="preserve"> After independently validating screenshot extraction and harmonizing time windows, what can and cannot be compared between iOS Screen Time screenshot outputs, Android vendor summaries, and Android event-derived bindings at common hourly and daily resolutions?</w:t>
      </w:r>
    </w:p>
    <w:p>
      <w:pPr>
        <w:pStyle w:val="NumberedItem"/>
      </w:pPr>
      <w:r>
        <w:t xml:space="preserve">6. </w:t>
      </w:r>
      <w:r>
        <w:rPr>
          <w:b/>
        </w:rPr>
        <w:t>RQ6 - Substantive sensitivity.</w:t>
      </w:r>
      <w:r>
        <w:t xml:space="preserve"> Do scientifically admissible bindings or observation resolutions change participant ranks, agreement statistics, model estimates, classifications, or substantive conclusions on authorized real study data?</w:t>
      </w:r>
    </w:p>
    <w:p>
      <w:pPr>
        <w:pStyle w:val="NumberedItem"/>
      </w:pPr>
      <w:r>
        <w:t xml:space="preserve">7. </w:t>
      </w:r>
      <w:r>
        <w:rPr>
          <w:b/>
        </w:rPr>
        <w:t>RQ7 - Reporting standard.</w:t>
      </w:r>
      <w:r>
        <w:t xml:space="preserve"> What minimum reporting checklist would make future passive-sensing measures classifiable, reproducible, and appropriately qualified by instrument capability?</w:t>
      </w:r>
    </w:p>
    <w:p>
      <w:pPr>
        <w:pStyle w:val="Heading2"/>
      </w:pPr>
      <w:r>
        <w:t>1.5 Hypotheses and planned contributions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claim:H01_VECTOR_STRUCTURE</w:t>
      </w:r>
      <w:r>
        <w:t xml:space="preserve"> is an unvalidated hypothesis that the scoped event-to-cleaned-summary methods can be represented as a complete decision vector.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claim:H01A_DISCLOSURE_INSTRUMENT</w:t>
      </w:r>
      <w:r>
        <w:t xml:space="preserve"> is a proposed, unvalidated literature-scoring instrument.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claim:H02_BINDING_DISAGREEMENT</w:t>
      </w:r>
      <w:r>
        <w:t xml:space="preserve"> is the unrun empirical hypothesis that admissible complete bindings can materially change results on the same authorized stream.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claim:C04_HOURLY_PLACEMENT</w:t>
      </w:r>
      <w:r>
        <w:t xml:space="preserve"> is the conditional resolution study. Externally reported results are not manuscript evidence until archived and independently reproduced.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claim:C05_VENDOR_CALIBRATION</w:t>
      </w:r>
      <w:r>
        <w:t xml:space="preserve"> is a planned same-device Android vendor-summary study with no data; it could distinguish vendor-versus-binding disagreement from within-binding coarsening and placement loss, conditional on the chosen Android binding.</w:t>
      </w:r>
    </w:p>
    <w:p>
      <w:pPr>
        <w:pStyle w:val="ListBullet"/>
      </w:pPr>
      <w:r>
        <w:t>The paper will contribute only the subset that passes its source, rubric, conformance, data, execution, and validation gates.</w:t>
      </w:r>
    </w:p>
    <w:p>
      <w:pPr>
        <w:pStyle w:val="Caption"/>
      </w:pPr>
      <w:r>
        <w:t>Table 1. Study aims, evidence streams, and present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Evidence stream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Main output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Present status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Study 1: decision and disclosure model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RQ1-RQ2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Fixed 51-reference census plus expanded discovery corpus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Component rubric, coverage and disclosure estimates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Rubric proposed; preliminary counts not independently verified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Study 2: Android binding multiverse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RQ3 and part of RQ6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Authorized Android event streams plus source/reference fixtures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Episode-to-participant disagreement and conformance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Runtime branches exist; headline real-data run unperformed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Study 3A: iOS screenshot extraction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RQ5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Versioned iOS Screen Time screenshots plus human reference coding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Extraction error, missingness, and usable hourly outputs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Conditional; acquisition and validation gates open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Study 3B: one-hour coarsening and recovery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RQ4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Fine Android event-derived occupancy coarsened to hourly totals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Resolution-specific displacement, error, reliability, and structural-statistic recovery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Externally reported analysis not independently reproduced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Study 3C: common-resolution comparison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RQ5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Validated iOS screenshot outputs, Android vendor summaries where available, and Android bindings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Hourly/daily agreement and non-equivalence characterization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Conditional; no claim of ground truth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Study 4: substantive sensitivity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RQ6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Authorized study outcomes joined to preregistered measurement outputs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Model, classification, and conclusion sensitivity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Unrun</w:t>
            </w:r>
          </w:p>
        </w:tc>
      </w:tr>
    </w:tbl>
    <w:p>
      <w:pPr>
        <w:spacing w:after="40"/>
      </w:pPr>
    </w:p>
    <w:p>
      <w:pPr>
        <w:pStyle w:val="Heading1"/>
      </w:pPr>
      <w:r>
        <w:t>2. Methods</w:t>
      </w:r>
    </w:p>
    <w:p>
      <w:pPr>
        <w:pStyle w:val="Heading2"/>
      </w:pPr>
      <w:r>
        <w:t>2.1 Overall design</w:t>
      </w:r>
    </w:p>
    <w:p>
      <w:pPr>
        <w:pStyle w:val="ListBullet"/>
      </w:pPr>
      <w:r>
        <w:t>Use four linked studies rather than one undifferentiated multiverse.</w:t>
      </w:r>
    </w:p>
    <w:p>
      <w:pPr>
        <w:pStyle w:val="ListBullet"/>
      </w:pPr>
      <w:r>
        <w:t>Keep literature evidence, source-conformance evidence, real-study inference, and synthetic defect fixtures in separate roles.</w:t>
      </w:r>
    </w:p>
    <w:p>
      <w:pPr>
        <w:pStyle w:val="ListBullet"/>
      </w:pPr>
      <w:r>
        <w:t>Freeze research questions, admissible bindings, resolution estimands, common time support, and materiality thresholds before inspecting outcome differences.</w:t>
      </w:r>
    </w:p>
    <w:p>
      <w:pPr>
        <w:pStyle w:val="ListBullet"/>
      </w:pPr>
      <w:r>
        <w:t>Never convert a refused or unavailable binding into a zero outcome.</w:t>
      </w:r>
    </w:p>
    <w:p>
      <w:pPr>
        <w:pStyle w:val="ListBullet"/>
      </w:pPr>
      <w:r>
        <w:t>Keep source-faithful whole-method contrasts separate from controlled one-component contrasts.</w:t>
      </w:r>
    </w:p>
    <w:p>
      <w:pPr>
        <w:pStyle w:val="Heading2"/>
      </w:pPr>
      <w:r>
        <w:t>2.2 Instruments, observable signals, and inferential roles</w:t>
      </w:r>
    </w:p>
    <w:p>
      <w:pPr>
        <w:pStyle w:val="Caption"/>
      </w:pPr>
      <w:r>
        <w:t>Table 2. Instrument and output comparison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Instrument or output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What is directly observed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Temporal detail available to this study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Hidden or delegated decisions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Permitted role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 xml:space="preserve">Android </w:t>
            </w:r>
            <w:r>
              <w:rPr>
                <w:rFonts w:ascii="Arial" w:hAnsi="Arial"/>
                <w:color w:val="1F2A44"/>
                <w:sz w:val="16"/>
                <w:shd w:fill="EEF1F5"/>
              </w:rPr>
              <w:t>UsageEvents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Typed, timestamped platform event records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Event timestamps; derived occupancy at the executable pipeline's precision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Logging coverage, OEM behavior, retained vocabulary, and every reconstruction choice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Primary executable reconstruction case; reference for the coarsening experiment, not universal ground truth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Android Digital Wellbeing screenshot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Rendered vendor summary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Displayed hourly and daily summaries where captured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Vendor usage predicate, aggregation, category mapping, and rendering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Planned same-device calibration; no data currently held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iOS Screen Time screenshot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Rendered Screen Time bars and summaries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Displayed hourly bars and daily totals where captured and legible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Apple's usage predicate, sessionization, aggregation, cross-device behavior, rounding, and rendering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Real coarse observation after capture/OCR validation; never raw truth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iOS DeviceActivity aggregate, where authorized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Privacy-constrained vendor activity aggregates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Hourly is the finest documented aggregate in the current evidence snapshot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Apple's upstream builder, regional/entitlement access, version support, and first-party surface differences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Optional screenshot-surface agreement study; still not raw event truth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 xml:space="preserve">iOS forensic or </w:t>
            </w:r>
            <w:r>
              <w:rPr>
                <w:rFonts w:ascii="Arial" w:hAnsi="Arial"/>
                <w:color w:val="1F2A44"/>
                <w:sz w:val="16"/>
                <w:shd w:fill="EEF1F5"/>
              </w:rPr>
              <w:t>App.InFocus</w:t>
            </w:r>
            <w:r>
              <w:rPr>
                <w:rFonts w:ascii="Arial" w:hAnsi="Arial"/>
                <w:sz w:val="16"/>
              </w:rPr>
              <w:t>-type record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Vendor-derived per-app records where legally and technically accessible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Record-level timestamps depend on platform version and extraction route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Apple's in-focus predicate, retention, device-specific semantics, schema migration, and unmatched-event handling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Capability and sensitivity evidence only unless independently validated for the target version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Research-app event stream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Collector-defined events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Collector cadence and vocabulary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Collector implementation, permissions, duty cycle, and upstream filtering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 xml:space="preserve">Source-specific method input; never silently equated with </w:t>
            </w:r>
            <w:r>
              <w:rPr>
                <w:rFonts w:ascii="Arial" w:hAnsi="Arial"/>
                <w:color w:val="1F2A44"/>
                <w:sz w:val="16"/>
                <w:shd w:fill="EEF1F5"/>
              </w:rPr>
              <w:t>UsageEvents</w:t>
            </w:r>
          </w:p>
        </w:tc>
      </w:tr>
    </w:tbl>
    <w:p>
      <w:pPr>
        <w:spacing w:after="40"/>
      </w:pPr>
    </w:p>
    <w:p>
      <w:pPr>
        <w:pStyle w:val="Heading2"/>
      </w:pPr>
      <w:r>
        <w:t>2.3 Units and event-to-measure process</w:t>
      </w:r>
    </w:p>
    <w:p>
      <w:pPr>
        <w:pStyle w:val="ListBullet"/>
      </w:pPr>
      <w:r>
        <w:t xml:space="preserve">Preserve the distinction among </w:t>
      </w:r>
      <w:r>
        <w:rPr>
          <w:rFonts w:ascii="Liberation Mono" w:hAnsi="Liberation Mono"/>
          <w:color w:val="1F2A44"/>
          <w:sz w:val="18"/>
          <w:shd w:fill="EEF1F5"/>
        </w:rPr>
        <w:t>PlatformEventOccurrence</w:t>
      </w:r>
      <w:r>
        <w:t xml:space="preserve">, </w:t>
      </w:r>
      <w:r>
        <w:rPr>
          <w:rFonts w:ascii="Liberation Mono" w:hAnsi="Liberation Mono"/>
          <w:color w:val="1F2A44"/>
          <w:sz w:val="18"/>
          <w:shd w:fill="EEF1F5"/>
        </w:rPr>
        <w:t>UsageEventRecord</w:t>
      </w:r>
      <w:r>
        <w:t xml:space="preserve">, </w:t>
      </w:r>
      <w:r>
        <w:rPr>
          <w:rFonts w:ascii="Liberation Mono" w:hAnsi="Liberation Mono"/>
          <w:color w:val="1F2A44"/>
          <w:sz w:val="18"/>
          <w:shd w:fill="EEF1F5"/>
        </w:rPr>
        <w:t>UsageEpisodeAssertion</w:t>
      </w:r>
      <w:r>
        <w:t xml:space="preserve">, and the </w:t>
      </w:r>
      <w:r>
        <w:rPr>
          <w:rFonts w:ascii="Liberation Mono" w:hAnsi="Liberation Mono"/>
          <w:color w:val="1F2A44"/>
          <w:sz w:val="18"/>
          <w:shd w:fill="EEF1F5"/>
        </w:rPr>
        <w:t>UsageInterval</w:t>
      </w:r>
      <w:r>
        <w:t xml:space="preserve"> it denotes.</w:t>
      </w:r>
    </w:p>
    <w:p>
      <w:pPr>
        <w:pStyle w:val="ListBullet"/>
      </w:pPr>
      <w:r>
        <w:t>Model device-state blocks separately from device-use sessions, glances, pickups, and grouped app-usage sessions.</w:t>
      </w:r>
    </w:p>
    <w:p>
      <w:pPr>
        <w:pStyle w:val="ListBullet"/>
      </w:pPr>
      <w:r>
        <w:t>Expose a pre-clean reconstructed checkpoint, then fork pre-clean and each declared cleaning branch before aggregation.</w:t>
      </w:r>
    </w:p>
    <w:p>
      <w:pPr>
        <w:pStyle w:val="ListBullet"/>
      </w:pPr>
      <w:r>
        <w:t>Define day and participant summaries with explicit time zone, day boundary, denominator, coverage, inclusion, and missingness rules.</w:t>
      </w:r>
    </w:p>
    <w:p>
      <w:pPr>
        <w:pStyle w:val="Caption"/>
      </w:pPr>
      <w:r>
        <w:t>Figure 1. Event-to-summary decision graph</w:t>
      </w:r>
    </w:p>
    <w:p>
      <w:pPr>
        <w:pStyle w:val="CodeBlock"/>
        <w:shd w:fill="EEF1F5"/>
      </w:pPr>
      <w:r>
        <w:t>platform occurrence -&gt; usage-event record -&gt; event selection -&gt; episode reconstruction</w:t>
        <w:br/>
        <w:t>device-state blocks -------------------------------------------&gt; bounds or credits episode</w:t>
        <w:br/>
        <w:t>episode assertion -&gt; grouped app session -&gt; pre-clean rows ----&gt; pre-clean aggregates</w:t>
        <w:br/>
        <w:t xml:space="preserve">                                          `-&gt; cleaning branch --&gt; cleaned aggregates</w:t>
        <w:br/>
        <w:t>all branches -&gt; day assignment -&gt; participant summary -&gt; downstream analysis</w:t>
      </w:r>
    </w:p>
    <w:p>
      <w:pPr>
        <w:pStyle w:val="Heading2"/>
      </w:pPr>
      <w:r>
        <w:t>2.4 Complete decision vector and 21-component rubric</w:t>
      </w:r>
    </w:p>
    <w:p>
      <w:pPr>
        <w:pStyle w:val="ListBullet"/>
      </w:pPr>
      <w:r>
        <w:t xml:space="preserve">Generate the complete Table 3 definitions from </w:t>
      </w:r>
      <w:r>
        <w:rPr>
          <w:rFonts w:ascii="Liberation Mono" w:hAnsi="Liberation Mono"/>
          <w:color w:val="1F2A44"/>
          <w:sz w:val="18"/>
          <w:shd w:fill="EEF1F5"/>
        </w:rPr>
        <w:t>measurement-component-rubric.yaml</w:t>
      </w:r>
      <w:r>
        <w:t xml:space="preserve"> version 0.2.0 rather than paraphrasing a second authority in prose.</w:t>
      </w:r>
    </w:p>
    <w:p>
      <w:pPr>
        <w:pStyle w:val="ListBullet"/>
      </w:pPr>
      <w:r>
        <w:t>The vector spans instrument and acquisition semantics, event selection, episode reconstruction, device and grouped-session construction, temporal assignment, aggregation and denominators, cleaning, and parameter provenance.</w:t>
      </w:r>
    </w:p>
    <w:p>
      <w:pPr>
        <w:pStyle w:val="ListBullet"/>
      </w:pPr>
      <w:r>
        <w:t>Treat all numeric thresholds and boundary operators as typed method arguments with units, inclusivity, source, fitting context, and inheritance.</w:t>
      </w:r>
    </w:p>
    <w:p>
      <w:pPr>
        <w:pStyle w:val="ListBullet"/>
      </w:pPr>
      <w:r>
        <w:t>Audit counterexamples: if a scoped method requires a component outside the frozen rubric, update the rubric before empirical analysis rather than forcing the method into an incomplete vector.</w:t>
      </w:r>
    </w:p>
    <w:p>
      <w:pPr>
        <w:pStyle w:val="Caption"/>
      </w:pPr>
      <w:r>
        <w:t>Table 3. Event-to-measure component rubric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Component ID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Canonical component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Decision recorded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Unit or vocabulary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Parameter provenance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[generated]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[generated from rubric]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[generated definition]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[as applicable]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Author-set, inherited, cited, data-derived, engineering constant, repository default, or unresolved</w:t>
            </w:r>
          </w:p>
        </w:tc>
      </w:tr>
    </w:tbl>
    <w:p>
      <w:pPr>
        <w:spacing w:after="40"/>
      </w:pPr>
    </w:p>
    <w:p>
      <w:pPr>
        <w:pStyle w:val="Heading2"/>
      </w:pPr>
      <w:r>
        <w:t>2.5 Literature census and expanded discovery corpus</w:t>
      </w:r>
    </w:p>
    <w:p>
      <w:pPr>
        <w:pStyle w:val="ListBullet"/>
      </w:pPr>
      <w:r>
        <w:t>Fixed sampling frame: all 51 references in Winklbauer and Batinic, fixed before screening. This is a bibliography census, not a probability sample of the field.</w:t>
      </w:r>
    </w:p>
    <w:p>
      <w:pPr>
        <w:pStyle w:val="ListBullet"/>
      </w:pPr>
      <w:r>
        <w:t>Expanded corpus: prespecified search slices, stable identifiers, deduplication, source-of-record rules, and direct-versus-transfer evidence.</w:t>
      </w:r>
    </w:p>
    <w:p>
      <w:pPr>
        <w:pStyle w:val="ListBullet"/>
      </w:pPr>
      <w:r>
        <w:t>Record source access as full text, abstract/metadata, or unavailable.</w:t>
      </w:r>
    </w:p>
    <w:p>
      <w:pPr>
        <w:pStyle w:val="ListBullet"/>
      </w:pPr>
      <w:r>
        <w:t xml:space="preserve">Code component disclosure as </w:t>
      </w:r>
      <w:r>
        <w:rPr>
          <w:rFonts w:ascii="Liberation Mono" w:hAnsi="Liberation Mono"/>
          <w:color w:val="1F2A44"/>
          <w:sz w:val="18"/>
          <w:shd w:fill="EEF1F5"/>
        </w:rPr>
        <w:t>DECLARED</w:t>
      </w:r>
      <w:r>
        <w:t xml:space="preserve">, </w:t>
      </w:r>
      <w:r>
        <w:rPr>
          <w:rFonts w:ascii="Liberation Mono" w:hAnsi="Liberation Mono"/>
          <w:color w:val="1F2A44"/>
          <w:sz w:val="18"/>
          <w:shd w:fill="EEF1F5"/>
        </w:rPr>
        <w:t>DELEGATED</w:t>
      </w:r>
      <w:r>
        <w:t xml:space="preserve">, </w:t>
      </w:r>
      <w:r>
        <w:rPr>
          <w:rFonts w:ascii="Liberation Mono" w:hAnsi="Liberation Mono"/>
          <w:color w:val="1F2A44"/>
          <w:sz w:val="18"/>
          <w:shd w:fill="EEF1F5"/>
        </w:rPr>
        <w:t>ABSENT</w:t>
      </w:r>
      <w:r>
        <w:t xml:space="preserve">, </w:t>
      </w:r>
      <w:r>
        <w:rPr>
          <w:rFonts w:ascii="Liberation Mono" w:hAnsi="Liberation Mono"/>
          <w:color w:val="1F2A44"/>
          <w:sz w:val="18"/>
          <w:shd w:fill="EEF1F5"/>
        </w:rPr>
        <w:t>N/A</w:t>
      </w:r>
      <w:r>
        <w:t xml:space="preserve">, or </w:t>
      </w:r>
      <w:r>
        <w:rPr>
          <w:rFonts w:ascii="Liberation Mono" w:hAnsi="Liberation Mono"/>
          <w:color w:val="1F2A44"/>
          <w:sz w:val="18"/>
          <w:shd w:fill="EEF1F5"/>
        </w:rPr>
        <w:t>UNDET</w:t>
      </w:r>
      <w:r>
        <w:t xml:space="preserve">. Material not read in full is </w:t>
      </w:r>
      <w:r>
        <w:rPr>
          <w:rFonts w:ascii="Liberation Mono" w:hAnsi="Liberation Mono"/>
          <w:color w:val="1F2A44"/>
          <w:sz w:val="18"/>
          <w:shd w:fill="EEF1F5"/>
        </w:rPr>
        <w:t>UNDET</w:t>
      </w:r>
      <w:r>
        <w:t xml:space="preserve">, never silently </w:t>
      </w:r>
      <w:r>
        <w:rPr>
          <w:rFonts w:ascii="Liberation Mono" w:hAnsi="Liberation Mono"/>
          <w:color w:val="1F2A44"/>
          <w:sz w:val="18"/>
          <w:shd w:fill="EEF1F5"/>
        </w:rPr>
        <w:t>ABSENT</w:t>
      </w:r>
      <w:r>
        <w:t>.</w:t>
      </w:r>
    </w:p>
    <w:p>
      <w:pPr>
        <w:pStyle w:val="ListBullet"/>
      </w:pPr>
      <w:r>
        <w:t>Independently verify load-bearing quotations, duplicate-code a prespecified sample, adjudicate disagreements, and report component-level reliability with access-conditioned denominators.</w:t>
      </w:r>
    </w:p>
    <w:p>
      <w:pPr>
        <w:pStyle w:val="ListBullet"/>
      </w:pPr>
      <w:r>
        <w:t>Keep app-level and device-level denominators separate.</w:t>
      </w:r>
    </w:p>
    <w:p>
      <w:pPr>
        <w:pStyle w:val="Heading2"/>
      </w:pPr>
      <w:r>
        <w:t>2.6 Executable Android bindings</w:t>
      </w:r>
    </w:p>
    <w:p>
      <w:pPr>
        <w:pStyle w:val="ListBullet"/>
      </w:pPr>
      <w:r>
        <w:t>Define a published method as a complete, versioned binding vector, not a reconstruction-strategy label.</w:t>
      </w:r>
    </w:p>
    <w:p>
      <w:pPr>
        <w:pStyle w:val="ListBullet"/>
      </w:pPr>
      <w:r>
        <w:t>Resolve the binding through schema, browser configuration, Rust/WASM request, execution, provenance, export, and independent conformance evidence.</w:t>
      </w:r>
    </w:p>
    <w:p>
      <w:pPr>
        <w:pStyle w:val="ListBullet"/>
      </w:pPr>
      <w:r>
        <w:t>Retain explicit refusal when the required signal or compatible component combination is absent.</w:t>
      </w:r>
    </w:p>
    <w:p>
      <w:pPr>
        <w:pStyle w:val="ListBullet"/>
      </w:pPr>
      <w:r>
        <w:t>Require default-byte compatibility, source-derived fixtures, boundary and failure fixtures, sequential versus incremental parity, persisted-cache identity, and end-to-end replay.</w:t>
      </w:r>
    </w:p>
    <w:p>
      <w:pPr>
        <w:pStyle w:val="ListBullet"/>
      </w:pPr>
      <w:r>
        <w:t>Separate reconstruction from interval cleaning and from later aggregation.</w:t>
      </w:r>
    </w:p>
    <w:p>
      <w:pPr>
        <w:pStyle w:val="ListBullet"/>
      </w:pPr>
      <w:r>
        <w:t>Treat current source-derived gaps honestly: source-unverified retention lists, partial EYES replay, contributor-derived Parry-Toth/Culverhouse lineage, and delivery axes not yet independently implemented.</w:t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936" w:left="1080" w:header="432" w:footer="432" w:gutter="0"/>
          <w:cols w:space="720"/>
          <w:titlePg/>
          <w:docGrid w:linePitch="360"/>
        </w:sectPr>
      </w:pPr>
    </w:p>
    <w:p>
      <w:pPr>
        <w:pStyle w:val="Caption"/>
      </w:pPr>
      <w:r>
        <w:t>Table 4. Complete binding evidence and conformance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Binding ID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Source lineage and required signal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Completeness and execution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Source/component validation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Reference and independent replay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Included outputs or refusal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[binding]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[source, version, signal stratum]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[complete, partial, refused]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[source review and component oracle]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[reference replay and independent end-to-end conformance]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[outputs, exclusions, reason code]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008" w:right="792" w:bottom="936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t>2.7 Admissibility, identifiability, and preregistration</w:t>
      </w:r>
    </w:p>
    <w:p>
      <w:pPr>
        <w:pStyle w:val="ListBullet"/>
      </w:pPr>
      <w:r>
        <w:t>Freeze an exhaustive registry of all candidate cells before outcome inspection.</w:t>
      </w:r>
    </w:p>
    <w:p>
      <w:pPr>
        <w:pStyle w:val="ListBullet"/>
      </w:pPr>
      <w:r>
        <w:t>For each cell, record target construct, applicable output, required signal, signal-relation stratum, complete binding, source lineage, compatibility, and inclusion/exclusion/refusal reason.</w:t>
      </w:r>
    </w:p>
    <w:p>
      <w:pPr>
        <w:pStyle w:val="ListBullet"/>
      </w:pPr>
      <w:r>
        <w:t>Estimate whole-binding differences without attributing them to individual components.</w:t>
      </w:r>
    </w:p>
    <w:p>
      <w:pPr>
        <w:pStyle w:val="ListBullet"/>
      </w:pPr>
      <w:r>
        <w:t>Estimate a component main effect only where one compatible axis changes and all other components remain fixed.</w:t>
      </w:r>
    </w:p>
    <w:p>
      <w:pPr>
        <w:pStyle w:val="ListBullet"/>
      </w:pPr>
      <w:r>
        <w:t>Estimate an interaction only in a full-rank crossed subset that varies every interacting axis.</w:t>
      </w:r>
    </w:p>
    <w:p>
      <w:pPr>
        <w:pStyle w:val="ListBullet"/>
      </w:pPr>
      <w:r>
        <w:t>Check the design matrix separately for each output; report aliases and structurally absent axes as unidentifiable rather than estimating them implicitly.</w:t>
      </w:r>
    </w:p>
    <w:p>
      <w:pPr>
        <w:pStyle w:val="Heading2"/>
      </w:pPr>
      <w:r>
        <w:t>2.8 Data sources, ethics, and common support</w:t>
      </w:r>
    </w:p>
    <w:p>
      <w:pPr>
        <w:pStyle w:val="ListBullet"/>
      </w:pPr>
      <w:r>
        <w:t>Authorized real Android study data provide the headline binding and downstream analyses.</w:t>
      </w:r>
    </w:p>
    <w:p>
      <w:pPr>
        <w:pStyle w:val="ListBullet"/>
      </w:pPr>
      <w:r>
        <w:t>iOS screenshots require explicit data authority, privacy protection, capture instructions, and a versioned platform/device record.</w:t>
      </w:r>
    </w:p>
    <w:p>
      <w:pPr>
        <w:pStyle w:val="ListBullet"/>
      </w:pPr>
      <w:r>
        <w:t>Public or author-provided fixtures establish conformance, not population inference.</w:t>
      </w:r>
    </w:p>
    <w:p>
      <w:pPr>
        <w:pStyle w:val="ListBullet"/>
      </w:pPr>
      <w:r>
        <w:t>Synthetic fixtures establish invariants and failure behavior, not scientific effect magnitude.</w:t>
      </w:r>
    </w:p>
    <w:p>
      <w:pPr>
        <w:pStyle w:val="ListBullet"/>
      </w:pPr>
      <w:r>
        <w:t>Freeze each participant's binding-independent paired-day set using study window, raw-input availability, and participant criteria that never inspect a binding output.</w:t>
      </w:r>
    </w:p>
    <w:p>
      <w:pPr>
        <w:pStyle w:val="ListBullet"/>
      </w:pPr>
      <w:r>
        <w:t>Preserve observed zero-use days as zero when the binding executed successfully; keep execution refusal, missing input, unreadable screenshot, and excluded output as distinct states.</w:t>
      </w:r>
    </w:p>
    <w:p>
      <w:pPr>
        <w:pStyle w:val="Heading2"/>
      </w:pPr>
      <w:r>
        <w:t>2.9 Study 2: Android complete-binding comparison</w:t>
      </w:r>
    </w:p>
    <w:p>
      <w:pPr>
        <w:pStyle w:val="Heading3"/>
      </w:pPr>
      <w:r>
        <w:t>2.9.1 Experimental arms</w:t>
      </w:r>
    </w:p>
    <w:p>
      <w:pPr>
        <w:pStyle w:val="ListBullet"/>
      </w:pPr>
      <w:r>
        <w:t>Include only source-faithful bindings and prespecified controlled perturbations that pass the admissibility and conformance gates.</w:t>
      </w:r>
    </w:p>
    <w:p>
      <w:pPr>
        <w:pStyle w:val="ListBullet"/>
      </w:pPr>
      <w:r>
        <w:t>Enumerate held-fixed, varied, bundled, structurally unavailable, and refused axes.</w:t>
      </w:r>
    </w:p>
    <w:p>
      <w:pPr>
        <w:pStyle w:val="ListBullet"/>
      </w:pPr>
      <w:r>
        <w:t>Run the same authorized event stream through every executable arm.</w:t>
      </w:r>
    </w:p>
    <w:p>
      <w:pPr>
        <w:pStyle w:val="Heading3"/>
      </w:pPr>
      <w:r>
        <w:t>2.9.2 Outcomes</w:t>
      </w:r>
    </w:p>
    <w:p>
      <w:pPr>
        <w:pStyle w:val="ListBullet"/>
      </w:pPr>
      <w:r>
        <w:t>Episode: start, end, duration, close reason, censoring, split, merge, and repair.</w:t>
      </w:r>
    </w:p>
    <w:p>
      <w:pPr>
        <w:pStyle w:val="ListBullet"/>
      </w:pPr>
      <w:r>
        <w:t>Session: count, duration, fragmentation, gap structure, pickups, and device-active time.</w:t>
      </w:r>
    </w:p>
    <w:p>
      <w:pPr>
        <w:pStyle w:val="ListBullet"/>
      </w:pPr>
      <w:r>
        <w:t>Day: app-active minutes, device-active minutes, category/app distribution, timing, and coverage.</w:t>
      </w:r>
    </w:p>
    <w:p>
      <w:pPr>
        <w:pStyle w:val="ListBullet"/>
      </w:pPr>
      <w:r>
        <w:t>Participant: central tendency, dispersion, active-day denominator, and inclusion.</w:t>
      </w:r>
    </w:p>
    <w:p>
      <w:pPr>
        <w:pStyle w:val="ListBullet"/>
      </w:pPr>
      <w:r>
        <w:t>Cleaning: pre-clean versus each separately aggregated cleaning branch.</w:t>
      </w:r>
    </w:p>
    <w:p>
      <w:pPr>
        <w:pStyle w:val="ListBullet"/>
      </w:pPr>
      <w:r>
        <w:t>Downstream: coefficient, uncertainty, direction, ranking, classification, and decision.</w:t>
      </w:r>
    </w:p>
    <w:p>
      <w:pPr>
        <w:pStyle w:val="Heading3"/>
      </w:pPr>
      <w:r>
        <w:t>2.9.3 Primary disagreement estimand</w:t>
      </w:r>
    </w:p>
    <w:p>
      <w:pPr>
        <w:pStyle w:val="ListBullet"/>
      </w:pPr>
      <w:r>
        <w:t xml:space="preserve">Let </w:t>
      </w:r>
      <w:r>
        <w:rPr>
          <w:rFonts w:ascii="Liberation Mono" w:hAnsi="Liberation Mono"/>
          <w:color w:val="1F2A44"/>
          <w:sz w:val="18"/>
          <w:shd w:fill="EEF1F5"/>
        </w:rPr>
        <w:t>Y_i,d,b</w:t>
      </w:r>
      <w:r>
        <w:t xml:space="preserve"> be pre-clean daily app-active minutes for participant </w:t>
      </w:r>
      <w:r>
        <w:rPr>
          <w:rFonts w:ascii="Liberation Mono" w:hAnsi="Liberation Mono"/>
          <w:color w:val="1F2A44"/>
          <w:sz w:val="18"/>
          <w:shd w:fill="EEF1F5"/>
        </w:rPr>
        <w:t>i</w:t>
      </w:r>
      <w:r>
        <w:t xml:space="preserve">, paired day </w:t>
      </w:r>
      <w:r>
        <w:rPr>
          <w:rFonts w:ascii="Liberation Mono" w:hAnsi="Liberation Mono"/>
          <w:color w:val="1F2A44"/>
          <w:sz w:val="18"/>
          <w:shd w:fill="EEF1F5"/>
        </w:rPr>
        <w:t>d</w:t>
      </w:r>
      <w:r>
        <w:t xml:space="preserve">, and binding </w:t>
      </w:r>
      <w:r>
        <w:rPr>
          <w:rFonts w:ascii="Liberation Mono" w:hAnsi="Liberation Mono"/>
          <w:color w:val="1F2A44"/>
          <w:sz w:val="18"/>
          <w:shd w:fill="EEF1F5"/>
        </w:rPr>
        <w:t>b</w:t>
      </w:r>
      <w:r>
        <w:t>.</w:t>
      </w:r>
    </w:p>
    <w:p>
      <w:pPr>
        <w:pStyle w:val="ListBullet"/>
      </w:pPr>
      <w:r>
        <w:t xml:space="preserve">For each preregistered binding </w:t>
      </w:r>
      <w:r>
        <w:rPr>
          <w:rFonts w:ascii="Liberation Mono" w:hAnsi="Liberation Mono"/>
          <w:color w:val="1F2A44"/>
          <w:sz w:val="18"/>
          <w:shd w:fill="EEF1F5"/>
        </w:rPr>
        <w:t>b</w:t>
      </w:r>
      <w:r>
        <w:t xml:space="preserve"> versus baseline </w:t>
      </w:r>
      <w:r>
        <w:rPr>
          <w:rFonts w:ascii="Liberation Mono" w:hAnsi="Liberation Mono"/>
          <w:color w:val="1F2A44"/>
          <w:sz w:val="18"/>
          <w:shd w:fill="EEF1F5"/>
        </w:rPr>
        <w:t>0</w:t>
      </w:r>
      <w:r>
        <w:t xml:space="preserve">, define </w:t>
      </w:r>
      <w:r>
        <w:rPr>
          <w:rFonts w:ascii="Liberation Mono" w:hAnsi="Liberation Mono"/>
          <w:color w:val="1F2A44"/>
          <w:sz w:val="18"/>
          <w:shd w:fill="EEF1F5"/>
        </w:rPr>
        <w:t>theta_b = median_i mean_d |Y_i,d,b - Y_i,d,0|</w:t>
      </w:r>
      <w:r>
        <w:t xml:space="preserve"> on the frozen paired-day support.</w:t>
      </w:r>
    </w:p>
    <w:p>
      <w:pPr>
        <w:pStyle w:val="ListBullet"/>
      </w:pPr>
      <w:r>
        <w:t xml:space="preserve">Define </w:t>
      </w:r>
      <w:r>
        <w:rPr>
          <w:rFonts w:ascii="Liberation Mono" w:hAnsi="Liberation Mono"/>
          <w:color w:val="1F2A44"/>
          <w:sz w:val="18"/>
          <w:shd w:fill="EEF1F5"/>
        </w:rPr>
        <w:t>Theta = max_b theta_b</w:t>
      </w:r>
      <w:r>
        <w:t xml:space="preserve"> over the frozen primary binding family.</w:t>
      </w:r>
    </w:p>
    <w:p>
      <w:pPr>
        <w:pStyle w:val="ListBullet"/>
      </w:pPr>
      <w:r>
        <w:t>Use participant-clustered resampling and simultaneous intervals for the binding family.</w:t>
      </w:r>
    </w:p>
    <w:p>
      <w:pPr>
        <w:pStyle w:val="ListBullet"/>
      </w:pPr>
      <w:r>
        <w:t xml:space="preserve">Set a smallest consequential difference </w:t>
      </w:r>
      <w:r>
        <w:rPr>
          <w:rFonts w:ascii="Liberation Mono" w:hAnsi="Liberation Mono"/>
          <w:color w:val="1F2A44"/>
          <w:sz w:val="18"/>
          <w:shd w:fill="EEF1F5"/>
        </w:rPr>
        <w:t>delta</w:t>
      </w:r>
      <w:r>
        <w:t xml:space="preserve"> before outcome inspection. Declare materiality only when the lower interval bound for </w:t>
      </w:r>
      <w:r>
        <w:rPr>
          <w:rFonts w:ascii="Liberation Mono" w:hAnsi="Liberation Mono"/>
          <w:color w:val="1F2A44"/>
          <w:sz w:val="18"/>
          <w:shd w:fill="EEF1F5"/>
        </w:rPr>
        <w:t>Theta</w:t>
      </w:r>
      <w:r>
        <w:t xml:space="preserve"> exceeds </w:t>
      </w:r>
      <w:r>
        <w:rPr>
          <w:rFonts w:ascii="Liberation Mono" w:hAnsi="Liberation Mono"/>
          <w:color w:val="1F2A44"/>
          <w:sz w:val="18"/>
          <w:shd w:fill="EEF1F5"/>
        </w:rPr>
        <w:t>delta</w:t>
      </w:r>
      <w:r>
        <w:t>; declare practical equivalence only when the upper bound is below it; otherwise report an inconclusive result.</w:t>
      </w:r>
    </w:p>
    <w:p>
      <w:pPr>
        <w:pStyle w:val="Heading2"/>
      </w:pPr>
      <w:r>
        <w:t>2.10 Study 3A: iOS Screen Time screenshot extraction and validation</w:t>
      </w:r>
    </w:p>
    <w:p>
      <w:pPr>
        <w:pStyle w:val="ListBullet"/>
      </w:pPr>
      <w:r>
        <w:t>No iOS screenshot/OCR ingestion, hourly Screen Time import, or inverse-placement implementation currently exists in this repository. This section is an explicit build-and-validation protocol, not a description of implemented capability or collected evidence.</w:t>
      </w:r>
    </w:p>
    <w:p>
      <w:pPr>
        <w:pStyle w:val="Heading3"/>
      </w:pPr>
      <w:r>
        <w:t>2.10.1 Acquisition protocol</w:t>
      </w:r>
    </w:p>
    <w:p>
      <w:pPr>
        <w:pStyle w:val="ListBullet"/>
      </w:pPr>
      <w:r>
        <w:t>Record iOS version, device model/class, locale, time zone, 12/24-hour clock, date, screenshot page, selected day/week, and whether Share Across Devices is enabled.</w:t>
      </w:r>
    </w:p>
    <w:p>
      <w:pPr>
        <w:pStyle w:val="ListBullet"/>
      </w:pPr>
      <w:r>
        <w:t>Prespecify capture timing, required views, image resolution, duplicate handling, resubmission, and missing-page rules.</w:t>
      </w:r>
    </w:p>
    <w:p>
      <w:pPr>
        <w:pStyle w:val="ListBullet"/>
      </w:pPr>
      <w:r>
        <w:t>Preserve the original screenshot, immutable digest, crop coordinates, extraction version, and human adjudication record.</w:t>
      </w:r>
    </w:p>
    <w:p>
      <w:pPr>
        <w:pStyle w:val="Heading3"/>
      </w:pPr>
      <w:r>
        <w:t>2.10.2 OCR and human-reference validation</w:t>
      </w:r>
    </w:p>
    <w:p>
      <w:pPr>
        <w:pStyle w:val="ListBullet"/>
      </w:pPr>
      <w:r>
        <w:t>Build a stratified validation set across device sizes, light/dark modes, locales, hour labels, low-use bars, overlapping labels, and platform versions.</w:t>
      </w:r>
    </w:p>
    <w:p>
      <w:pPr>
        <w:pStyle w:val="ListBullet"/>
      </w:pPr>
      <w:r>
        <w:t>Double-code the validation set without using OCR output as the reference.</w:t>
      </w:r>
    </w:p>
    <w:p>
      <w:pPr>
        <w:pStyle w:val="ListBullet"/>
      </w:pPr>
      <w:r>
        <w:t>Score hour-bar detection, bar height or value extraction, text recognition, daily-total extraction, category/app label mapping, date/window recognition, and missingness classification.</w:t>
      </w:r>
    </w:p>
    <w:p>
      <w:pPr>
        <w:pStyle w:val="ListBullet"/>
      </w:pPr>
      <w:r>
        <w:t>Report exact agreement, absolute and relative error, missed/extra cells, adjudication rate, and uncertainty. Do not rely on correlation alone.</w:t>
      </w:r>
    </w:p>
    <w:p>
      <w:pPr>
        <w:pStyle w:val="ListBullet"/>
      </w:pPr>
      <w:r>
        <w:t>Define fail-closed thresholds for an unreadable screenshot or an unsupported platform layout.</w:t>
      </w:r>
    </w:p>
    <w:p>
      <w:pPr>
        <w:pStyle w:val="Caption"/>
      </w:pPr>
      <w:r>
        <w:t>Table 5. Screenshot extraction validation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Extracted element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Independent reference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Primary metric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Acceptance rule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Failure disposition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Hourly bar/cell presence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Double human annotation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Sensitivity, precision, missed/extra cells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[preregister]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Exclude cell or screenshot with explicit reason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Hourly minutes/value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Human transcription or validated geometric reference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MAE, median absolute error, exact agreement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[preregister]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Retain uncertainty or refuse numeric use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Daily total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Double human transcription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Absolute and relative error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[preregister]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Refuse daily comparison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App/category label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Adjudicated label set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Exact and hierarchical agreement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[preregister]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Map to explicit unknown/unmatched class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Date, time zone, and window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Metadata plus human check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Exact agreement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100% for analytic inclusion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Exclude or recapture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Platform layout/version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Recorded device metadata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Supported-layout coverage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Supported and versioned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Typed unsupported-layout refusal</w:t>
            </w:r>
          </w:p>
        </w:tc>
      </w:tr>
    </w:tbl>
    <w:p>
      <w:pPr>
        <w:spacing w:after="40"/>
      </w:pPr>
    </w:p>
    <w:p>
      <w:pPr>
        <w:pStyle w:val="Heading2"/>
      </w:pPr>
      <w:r>
        <w:t>2.11 Study 3B: one-hour coarsening and resolution-recovery experiment</w:t>
      </w:r>
    </w:p>
    <w:p>
      <w:pPr>
        <w:pStyle w:val="Heading3"/>
      </w:pPr>
      <w:r>
        <w:t>2.11.1 Purpose</w:t>
      </w:r>
    </w:p>
    <w:p>
      <w:pPr>
        <w:pStyle w:val="ListBullet"/>
      </w:pPr>
      <w:r>
        <w:t>Reproduce the temporal information loss imposed when a fine event-derived series is observed only as hourly mass, the practical resolution available from Screen Time screenshot bars.</w:t>
      </w:r>
    </w:p>
    <w:p>
      <w:pPr>
        <w:pStyle w:val="ListBullet"/>
      </w:pPr>
      <w:r>
        <w:t xml:space="preserve">Call this a </w:t>
      </w:r>
      <w:r>
        <w:rPr>
          <w:b/>
        </w:rPr>
        <w:t>coarsening experiment</w:t>
      </w:r>
      <w:r>
        <w:t>, not a simulation of human behavior. The observed Android event stream remains fixed; only its temporal resolution is reduced.</w:t>
      </w:r>
    </w:p>
    <w:p>
      <w:pPr>
        <w:pStyle w:val="ListBullet"/>
      </w:pPr>
      <w:r>
        <w:t>Use Android event-derived occupancy as retained fine-resolution reference for this experiment, while stating that it is not universal behavioral ground truth and still depends on its complete binding.</w:t>
      </w:r>
    </w:p>
    <w:p>
      <w:pPr>
        <w:pStyle w:val="Heading3"/>
      </w:pPr>
      <w:r>
        <w:t>2.11.2 Procedure</w:t>
      </w:r>
    </w:p>
    <w:p>
      <w:pPr>
        <w:pStyle w:val="NumberedItem"/>
      </w:pPr>
      <w:r>
        <w:t xml:space="preserve">1. Construct fine-resolution reference occupancy </w:t>
      </w:r>
      <w:r>
        <w:rPr>
          <w:rFonts w:ascii="Liberation Mono" w:hAnsi="Liberation Mono"/>
          <w:color w:val="1F2A44"/>
          <w:sz w:val="18"/>
          <w:shd w:fill="EEF1F5"/>
        </w:rPr>
        <w:t>T</w:t>
      </w:r>
      <w:r>
        <w:t xml:space="preserve"> from each admissible Android binding.</w:t>
      </w:r>
    </w:p>
    <w:p>
      <w:pPr>
        <w:pStyle w:val="NumberedItem"/>
      </w:pPr>
      <w:r>
        <w:t xml:space="preserve">2. Sum </w:t>
      </w:r>
      <w:r>
        <w:rPr>
          <w:rFonts w:ascii="Liberation Mono" w:hAnsi="Liberation Mono"/>
          <w:color w:val="1F2A44"/>
          <w:sz w:val="18"/>
          <w:shd w:fill="EEF1F5"/>
        </w:rPr>
        <w:t>T</w:t>
      </w:r>
      <w:r>
        <w:t xml:space="preserve"> within clock-hour bins to create hourly observations </w:t>
      </w:r>
      <w:r>
        <w:rPr>
          <w:rFonts w:ascii="Liberation Mono" w:hAnsi="Liberation Mono"/>
          <w:color w:val="1F2A44"/>
          <w:sz w:val="18"/>
          <w:shd w:fill="EEF1F5"/>
        </w:rPr>
        <w:t>H</w:t>
      </w:r>
      <w:r>
        <w:t>.</w:t>
      </w:r>
    </w:p>
    <w:p>
      <w:pPr>
        <w:pStyle w:val="NumberedItem"/>
      </w:pPr>
      <w:r>
        <w:t xml:space="preserve">3. Apply each prespecified placement method to </w:t>
      </w:r>
      <w:r>
        <w:rPr>
          <w:rFonts w:ascii="Liberation Mono" w:hAnsi="Liberation Mono"/>
          <w:color w:val="1F2A44"/>
          <w:sz w:val="18"/>
          <w:shd w:fill="EEF1F5"/>
        </w:rPr>
        <w:t>H</w:t>
      </w:r>
      <w:r>
        <w:t xml:space="preserve"> to obtain reconstructed within-hour occupancy </w:t>
      </w:r>
      <w:r>
        <w:rPr>
          <w:rFonts w:ascii="Liberation Mono" w:hAnsi="Liberation Mono"/>
          <w:color w:val="1F2A44"/>
          <w:sz w:val="18"/>
          <w:shd w:fill="EEF1F5"/>
        </w:rPr>
        <w:t>P</w:t>
      </w:r>
      <w:r>
        <w:t xml:space="preserve"> while preserving each hourly total exactly.</w:t>
      </w:r>
    </w:p>
    <w:p>
      <w:pPr>
        <w:pStyle w:val="NumberedItem"/>
      </w:pPr>
      <w:r>
        <w:t xml:space="preserve">4. Aggregate </w:t>
      </w:r>
      <w:r>
        <w:rPr>
          <w:rFonts w:ascii="Liberation Mono" w:hAnsi="Liberation Mono"/>
          <w:color w:val="1F2A44"/>
          <w:sz w:val="18"/>
          <w:shd w:fill="EEF1F5"/>
        </w:rPr>
        <w:t>T</w:t>
      </w:r>
      <w:r>
        <w:t xml:space="preserve"> and </w:t>
      </w:r>
      <w:r>
        <w:rPr>
          <w:rFonts w:ascii="Liberation Mono" w:hAnsi="Liberation Mono"/>
          <w:color w:val="1F2A44"/>
          <w:sz w:val="18"/>
          <w:shd w:fill="EEF1F5"/>
        </w:rPr>
        <w:t>P</w:t>
      </w:r>
      <w:r>
        <w:t xml:space="preserve"> separately to 1, 5, 10, 15, 30, and 60-minute bins.</w:t>
      </w:r>
    </w:p>
    <w:p>
      <w:pPr>
        <w:pStyle w:val="NumberedItem"/>
      </w:pPr>
      <w:r>
        <w:t xml:space="preserve">5. Compare </w:t>
      </w:r>
      <w:r>
        <w:rPr>
          <w:rFonts w:ascii="Liberation Mono" w:hAnsi="Liberation Mono"/>
          <w:color w:val="1F2A44"/>
          <w:sz w:val="18"/>
          <w:shd w:fill="EEF1F5"/>
        </w:rPr>
        <w:t>P</w:t>
      </w:r>
      <w:r>
        <w:t xml:space="preserve"> with retained </w:t>
      </w:r>
      <w:r>
        <w:rPr>
          <w:rFonts w:ascii="Liberation Mono" w:hAnsi="Liberation Mono"/>
          <w:color w:val="1F2A44"/>
          <w:sz w:val="18"/>
          <w:shd w:fill="EEF1F5"/>
        </w:rPr>
        <w:t>T</w:t>
      </w:r>
      <w:r>
        <w:t xml:space="preserve"> at every resolution and for downstream temporal summaries.</w:t>
      </w:r>
    </w:p>
    <w:p>
      <w:pPr>
        <w:pStyle w:val="NumberedItem"/>
      </w:pPr>
      <w:r>
        <w:t>6. Repeat across participants, days, usage intensities, boundary-crossing patterns, and admissible Android bindings.</w:t>
      </w:r>
    </w:p>
    <w:p>
      <w:pPr>
        <w:pStyle w:val="Heading3"/>
      </w:pPr>
      <w:r>
        <w:t>2.11.3 Placement methods</w:t>
      </w:r>
    </w:p>
    <w:p>
      <w:pPr>
        <w:pStyle w:val="ListBullet"/>
      </w:pPr>
      <w:r>
        <w:t>Include the externally reported TECH/GNSM procedure only after its code, inputs, outputs, and environment are archived and independently reproduced.</w:t>
      </w:r>
    </w:p>
    <w:p>
      <w:pPr>
        <w:pStyle w:val="ListBullet"/>
      </w:pPr>
      <w:r>
        <w:t>Prespecify simpler reference placements such as beginning-loaded, uniform, midpoint, or boundary-aware methods only where their definitions and feasibility constraints are exact.</w:t>
      </w:r>
    </w:p>
    <w:p>
      <w:pPr>
        <w:pStyle w:val="ListBullet"/>
      </w:pPr>
      <w:r>
        <w:t>Keep method-ranking resolution checks separate from reliability estimation.</w:t>
      </w:r>
    </w:p>
    <w:p>
      <w:pPr>
        <w:pStyle w:val="Heading3"/>
      </w:pPr>
      <w:r>
        <w:t>2.11.4 Resolution-specific estimands</w:t>
      </w:r>
    </w:p>
    <w:p>
      <w:pPr>
        <w:pStyle w:val="ListBullet"/>
      </w:pPr>
      <w:r>
        <w:t>Per-bin MAE and RMSE.</w:t>
      </w:r>
    </w:p>
    <w:p>
      <w:pPr>
        <w:pStyle w:val="ListBullet"/>
      </w:pPr>
      <w:r>
        <w:t>Mass-weighted absolute temporal displacement and signed displacement.</w:t>
      </w:r>
    </w:p>
    <w:p>
      <w:pPr>
        <w:pStyle w:val="ListBullet"/>
      </w:pPr>
      <w:r>
        <w:t xml:space="preserve">Reliability or signal-fraction statistic </w:t>
      </w:r>
      <w:r>
        <w:rPr>
          <w:rFonts w:ascii="Liberation Mono" w:hAnsi="Liberation Mono"/>
          <w:color w:val="1F2A44"/>
          <w:sz w:val="18"/>
          <w:shd w:fill="EEF1F5"/>
        </w:rPr>
        <w:t>lambda(Delta)</w:t>
      </w:r>
      <w:r>
        <w:t xml:space="preserve"> with its exact definition.</w:t>
      </w:r>
    </w:p>
    <w:p>
      <w:pPr>
        <w:pStyle w:val="ListBullet"/>
      </w:pPr>
      <w:r>
        <w:t>Recovery of total mass, active-bin count, bout count and duration, autocorrelation, entropy, time-of-day profile, peak timing, and prespecified downstream statistics.</w:t>
      </w:r>
    </w:p>
    <w:p>
      <w:pPr>
        <w:pStyle w:val="ListBullet"/>
      </w:pPr>
      <w:r>
        <w:t>Participant/day heterogeneity and participant-clustered uncertainty.</w:t>
      </w:r>
    </w:p>
    <w:p>
      <w:pPr>
        <w:pStyle w:val="Heading3"/>
      </w:pPr>
      <w:r>
        <w:t>2.11.5 The 60-minute identity</w:t>
      </w:r>
    </w:p>
    <w:p>
      <w:pPr>
        <w:pStyle w:val="ListBullet"/>
      </w:pPr>
      <w:r>
        <w:t xml:space="preserve">Because every placement method is constrained to preserve the input hourly total, </w:t>
      </w:r>
      <w:r>
        <w:rPr>
          <w:rFonts w:ascii="Liberation Mono" w:hAnsi="Liberation Mono"/>
          <w:color w:val="1F2A44"/>
          <w:sz w:val="18"/>
          <w:shd w:fill="EEF1F5"/>
        </w:rPr>
        <w:t>P_60 = T_60</w:t>
      </w:r>
      <w:r>
        <w:t xml:space="preserve"> by construction when bins and clocks align.</w:t>
      </w:r>
    </w:p>
    <w:p>
      <w:pPr>
        <w:pStyle w:val="ListBullet"/>
      </w:pPr>
      <w:r>
        <w:t xml:space="preserve">Therefore </w:t>
      </w:r>
      <w:r>
        <w:rPr>
          <w:rFonts w:ascii="Liberation Mono" w:hAnsi="Liberation Mono"/>
          <w:color w:val="1F2A44"/>
          <w:sz w:val="18"/>
          <w:shd w:fill="EEF1F5"/>
        </w:rPr>
        <w:t>lambda(60) = 1</w:t>
      </w:r>
      <w:r>
        <w:t>, zero 60-minute mass error, or perfect hour-level agreement is a structural identity. It is not evidence that the placement method reconstructs within-hour use, matches Apple's hidden aggregation rule, or validates the underlying Android binding.</w:t>
      </w:r>
    </w:p>
    <w:p>
      <w:pPr>
        <w:pStyle w:val="ListBullet"/>
      </w:pPr>
      <w:r>
        <w:t>The empirical questions begin below 60 minutes and in structural or downstream statistics that the exact-total constraint does not force to agree.</w:t>
      </w:r>
    </w:p>
    <w:p>
      <w:pPr>
        <w:pStyle w:val="Caption"/>
      </w:pPr>
      <w:r>
        <w:t>Table 6. Resolution-recovery analysis shell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Forced agreement from hourly mass?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Primary empirical quantities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Secondary structure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Manuscript interpretation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 minute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 xml:space="preserve">Displacement, MAE/RMSE, </w:t>
            </w:r>
            <w:r>
              <w:rPr>
                <w:rFonts w:ascii="Arial" w:hAnsi="Arial"/>
                <w:color w:val="1F2A44"/>
                <w:sz w:val="16"/>
                <w:shd w:fill="EEF1F5"/>
              </w:rPr>
              <w:t>lambda(1)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Bouts, peak timing, entropy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Fine-grained recovery; estimate and validate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5 minutes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 xml:space="preserve">Displacement, MAE/RMSE, </w:t>
            </w:r>
            <w:r>
              <w:rPr>
                <w:rFonts w:ascii="Arial" w:hAnsi="Arial"/>
                <w:color w:val="1F2A44"/>
                <w:sz w:val="16"/>
                <w:shd w:fill="EEF1F5"/>
              </w:rPr>
              <w:t>lambda(5)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Bouts, ACF, timing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Estimate and validate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10 minutes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 xml:space="preserve">Displacement, MAE/RMSE, </w:t>
            </w:r>
            <w:r>
              <w:rPr>
                <w:rFonts w:ascii="Arial" w:hAnsi="Arial"/>
                <w:color w:val="1F2A44"/>
                <w:sz w:val="16"/>
                <w:shd w:fill="EEF1F5"/>
              </w:rPr>
              <w:t>lambda(10)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Bouts, ACF, timing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Estimate and validate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15 minutes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 xml:space="preserve">Displacement, MAE/RMSE, </w:t>
            </w:r>
            <w:r>
              <w:rPr>
                <w:rFonts w:ascii="Arial" w:hAnsi="Arial"/>
                <w:color w:val="1F2A44"/>
                <w:sz w:val="16"/>
                <w:shd w:fill="EEF1F5"/>
              </w:rPr>
              <w:t>lambda(15)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Time-of-day and downstream summaries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Estimate and validate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30 minutes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 xml:space="preserve">Displacement, MAE/RMSE, </w:t>
            </w:r>
            <w:r>
              <w:rPr>
                <w:rFonts w:ascii="Arial" w:hAnsi="Arial"/>
                <w:color w:val="1F2A44"/>
                <w:sz w:val="16"/>
                <w:shd w:fill="EEF1F5"/>
              </w:rPr>
              <w:t>lambda(30)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Time-of-day and downstream summaries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Estimate and validate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60 minutes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Yes, if bins align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Identity check only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Statistics not forced by total mass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Report as structural identity, never empirical validation</w:t>
            </w:r>
          </w:p>
        </w:tc>
      </w:tr>
    </w:tbl>
    <w:p>
      <w:pPr>
        <w:spacing w:after="40"/>
      </w:pPr>
    </w:p>
    <w:p>
      <w:pPr>
        <w:pStyle w:val="Caption"/>
      </w:pPr>
      <w:r>
        <w:t>Figure 2. Coarsening and recovery design</w:t>
      </w:r>
    </w:p>
    <w:p>
      <w:pPr>
        <w:pStyle w:val="CodeBlock"/>
        <w:shd w:fill="EEF1F5"/>
      </w:pPr>
      <w:r>
        <w:t>fine Android events</w:t>
        <w:br/>
        <w:t xml:space="preserve">  -&gt; complete binding</w:t>
        <w:br/>
        <w:t xml:space="preserve">  -&gt; fine occupancy T</w:t>
        <w:br/>
        <w:t xml:space="preserve">       |-&gt; retain T at Delta</w:t>
        <w:br/>
        <w:t xml:space="preserve">       `-&gt; exact hourly totals H</w:t>
        <w:br/>
        <w:t xml:space="preserve">            -&gt; placement method</w:t>
        <w:br/>
        <w:t xml:space="preserve">            -&gt; P at Delta</w:t>
        <w:br/>
        <w:br/>
        <w:t>compare T and P at 1/5/10/15/30/60 minutes</w:t>
        <w:br/>
        <w:br/>
        <w:t>iOS screenshot</w:t>
        <w:br/>
        <w:t xml:space="preserve">  -&gt; validated extraction</w:t>
        <w:br/>
        <w:t xml:space="preserve">  -&gt; observed hourly totals</w:t>
        <w:br/>
        <w:t xml:space="preserve">  -&gt; conditional placement outputs</w:t>
        <w:br/>
        <w:br/>
        <w:t>no unobserved iOS event truth is implied</w:t>
      </w:r>
    </w:p>
    <w:p>
      <w:pPr>
        <w:pStyle w:val="Heading2"/>
      </w:pPr>
      <w:r>
        <w:t>2.12 Study 3C: common-resolution Android and iOS comparison</w:t>
      </w:r>
    </w:p>
    <w:p>
      <w:pPr>
        <w:pStyle w:val="ListBullet"/>
      </w:pPr>
      <w:r>
        <w:t>Compare only outputs that refer to a compatible construct, clock window, device scope, and unit.</w:t>
      </w:r>
    </w:p>
    <w:p>
      <w:pPr>
        <w:pStyle w:val="ListBullet"/>
      </w:pPr>
      <w:r>
        <w:t>Use validated iOS screenshot-derived hourly and daily outputs as observations, not criterion truth.</w:t>
      </w:r>
    </w:p>
    <w:p>
      <w:pPr>
        <w:pStyle w:val="ListBullet"/>
      </w:pPr>
      <w:r>
        <w:t>Produce Android comparison series by aggregating each admissible event-derived binding to the same hour/day boundaries and, where collected, by independently extracting Digital Wellbeing screenshots.</w:t>
      </w:r>
    </w:p>
    <w:p>
      <w:pPr>
        <w:pStyle w:val="ListBullet"/>
      </w:pPr>
      <w:r>
        <w:t>Harmonize time zone, daylight-saving transitions, cross-midnight use, partial first/last days, app/category vocabulary, Share Across Devices, and missing screenshot cells.</w:t>
      </w:r>
    </w:p>
    <w:p>
      <w:pPr>
        <w:pStyle w:val="ListBullet"/>
      </w:pPr>
      <w:r>
        <w:t>If no paired or otherwise justified design exists, limit cross-platform results to measurement characterization and distributional comparison rather than causal or individual-level agreement.</w:t>
      </w:r>
    </w:p>
    <w:p>
      <w:pPr>
        <w:pStyle w:val="ListBullet"/>
      </w:pPr>
      <w:r>
        <w:t>Never use successful recovery on Android-coarsened data to assert that Apple's hidden raw-to-bar transformation is correct or equivalent.</w:t>
      </w:r>
    </w:p>
    <w:p>
      <w:pPr>
        <w:pStyle w:val="Caption"/>
      </w:pPr>
      <w:r>
        <w:t>Table 7. Common-resolution comparison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Comparison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Common unit and support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Primary statistic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Required validation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Permitted inference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Android binding vs Android binding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Same participant-day/hour and raw stream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Absolute difference, agreement, rank change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Complete binding conformance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Binding sensitivity on Android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Android event-derived vs Digital Wellbeing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Same device, hour/day, and version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Paired difference and agreement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Screenshot/OCR validation plus paired collection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Vendor-versus-explicit binding characterization; neither is ground truth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iOS Screen Time screenshot vs harmonized Android output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Common displayed hour/day and construct where justified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Distributional difference, rank/agreement only in a paired design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iOS extraction validation, window and construct harmonization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Cross-platform comparability limits, not platform truth ranking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Reconstructed sub-hour iOS series vs observed iOS hourly mass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Within screenshot hour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Exact mass preservation plus sensitivity across placements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Valid screenshot extraction</w:t>
            </w:r>
          </w:p>
        </w:tc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Conditional temporal allocation only; no direct sub-hour accuracy claim</w:t>
            </w:r>
          </w:p>
        </w:tc>
      </w:tr>
    </w:tbl>
    <w:p>
      <w:pPr>
        <w:spacing w:after="40"/>
      </w:pPr>
    </w:p>
    <w:p>
      <w:pPr>
        <w:pStyle w:val="Heading2"/>
      </w:pPr>
      <w:r>
        <w:t>2.13 Study 4: downstream model and conclusion sensitivity</w:t>
      </w:r>
    </w:p>
    <w:p>
      <w:pPr>
        <w:pStyle w:val="ListBullet"/>
      </w:pPr>
      <w:r>
        <w:t>Preregister the substantive outcomes, covariates, estimands, models, and decision thresholds before joining them to measurement outputs.</w:t>
      </w:r>
    </w:p>
    <w:p>
      <w:pPr>
        <w:pStyle w:val="ListBullet"/>
      </w:pPr>
      <w:r>
        <w:t>Refit the same analysis under every admissible binding and, where scientifically justified, every supported temporal resolution.</w:t>
      </w:r>
    </w:p>
    <w:p>
      <w:pPr>
        <w:pStyle w:val="ListBullet"/>
      </w:pPr>
      <w:r>
        <w:t>Report coefficient magnitude, interval, direction, participant rank, classification, threshold crossing, and substantive conclusion.</w:t>
      </w:r>
    </w:p>
    <w:p>
      <w:pPr>
        <w:pStyle w:val="ListBullet"/>
      </w:pPr>
      <w:r>
        <w:t>Keep downstream decision change separate from the primary measurement-disagreement estimand.</w:t>
      </w:r>
    </w:p>
    <w:p>
      <w:pPr>
        <w:pStyle w:val="ListBullet"/>
      </w:pPr>
      <w:r>
        <w:t>Do not infer causal sensitivity from a model that was not causally identified in the source study.</w:t>
      </w:r>
    </w:p>
    <w:p>
      <w:pPr>
        <w:pStyle w:val="Heading2"/>
      </w:pPr>
      <w:r>
        <w:t>2.14 Robustness, missingness, and sensitivity analyses</w:t>
      </w:r>
    </w:p>
    <w:p>
      <w:pPr>
        <w:pStyle w:val="ListBullet"/>
      </w:pPr>
      <w:r>
        <w:t>Logging gaps, unsupported event labels, unmatched open/close events, device restarts, clock changes, time zones, daylight-saving transitions, query-window censoring, and cross-midnight episodes.</w:t>
      </w:r>
    </w:p>
    <w:p>
      <w:pPr>
        <w:pStyle w:val="ListBullet"/>
      </w:pPr>
      <w:r>
        <w:t>Shared devices, person attribution, app/package exclusions, background or media activity, and observation reactivity.</w:t>
      </w:r>
    </w:p>
    <w:p>
      <w:pPr>
        <w:pStyle w:val="ListBullet"/>
      </w:pPr>
      <w:r>
        <w:t>Screenshot nonresponse, duplicate or partial screenshots, unreadable bars, OCR uncertainty, cross-device aggregation, and platform-layout changes.</w:t>
      </w:r>
    </w:p>
    <w:p>
      <w:pPr>
        <w:pStyle w:val="ListBullet"/>
      </w:pPr>
      <w:r>
        <w:t>Coarsening bin alignment, alternative feasible placements, participant/day heterogeneity, and resolution-specific use cases.</w:t>
      </w:r>
    </w:p>
    <w:p>
      <w:pPr>
        <w:pStyle w:val="ListBullet"/>
      </w:pPr>
      <w:r>
        <w:t>Cleaning-induced day and participant eligibility analyzed on the same frozen input-defined support.</w:t>
      </w:r>
    </w:p>
    <w:p>
      <w:pPr>
        <w:pStyle w:val="Heading2"/>
      </w:pPr>
      <w:r>
        <w:t>2.15 Reproducibility and artifact provenance</w:t>
      </w:r>
    </w:p>
    <w:p>
      <w:pPr>
        <w:pStyle w:val="ListBullet"/>
      </w:pPr>
      <w:r>
        <w:t>Record exact source revision, configuration, complete binding, input digest, support-file digest, runtime/WASM identity, refusal or execution receipt, output digest, and environment.</w:t>
      </w:r>
    </w:p>
    <w:p>
      <w:pPr>
        <w:pStyle w:val="ListBullet"/>
      </w:pPr>
      <w:r>
        <w:t>Archive the screenshot extraction model/rules, validation annotations, original image digests, crop geometry, and adjudication log without publishing restricted images.</w:t>
      </w:r>
    </w:p>
    <w:p>
      <w:pPr>
        <w:pStyle w:val="ListBullet"/>
      </w:pPr>
      <w:r>
        <w:t>Archive the coarsening and placement code, retained fine reference, hourly inputs, resolution outputs, estimand code, and original rendered results.</w:t>
      </w:r>
    </w:p>
    <w:p>
      <w:pPr>
        <w:pStyle w:val="ListBullet"/>
      </w:pPr>
      <w:r>
        <w:t>Publish machine-readable manifests, source locators, conformance vectors, and a restricted-data access statement.</w:t>
      </w:r>
    </w:p>
    <w:p>
      <w:pPr>
        <w:pStyle w:val="Heading1"/>
      </w:pPr>
      <w:r>
        <w:t>3. Results</w:t>
      </w:r>
    </w:p>
    <w:p>
      <w:r>
        <w:rPr>
          <w:b/>
        </w:rPr>
        <w:t>Results rule:</w:t>
      </w:r>
      <w:r>
        <w:t xml:space="preserve"> Do not fill a subsection merely because the software branch exists. Each result requires the corresponding source, validation, data-authority, preregistration, and execution gates. Synthetic fixtures may appear only as validation evidence.</w:t>
      </w:r>
    </w:p>
    <w:p>
      <w:pPr>
        <w:pStyle w:val="Heading2"/>
      </w:pPr>
      <w:r>
        <w:t>3.1 Corpus access, eligibility, and coding reliability</w:t>
      </w:r>
    </w:p>
    <w:p>
      <w:pPr>
        <w:pStyle w:val="ListBullet"/>
      </w:pPr>
      <w:r>
        <w:t>Participant/study flow equivalent for the literature corpus.</w:t>
      </w:r>
    </w:p>
    <w:p>
      <w:pPr>
        <w:pStyle w:val="ListBullet"/>
      </w:pPr>
      <w:r>
        <w:t>Access depth and eligibility by app-level versus device-level method.</w:t>
      </w:r>
    </w:p>
    <w:p>
      <w:pPr>
        <w:pStyle w:val="ListBullet"/>
      </w:pPr>
      <w:r>
        <w:t>Independent coding agreement, adjudication, and unresolved fields.</w:t>
      </w:r>
    </w:p>
    <w:p>
      <w:pPr>
        <w:pStyle w:val="ListBullet"/>
      </w:pPr>
      <w:r>
        <w:t>Preliminary reconciled counts may be shown only as preliminary and not independently verified until the scoring gates pass.</w:t>
      </w:r>
    </w:p>
    <w:p>
      <w:pPr>
        <w:sectPr>
          <w:pgSz w:w="12240" w:h="15840"/>
          <w:pgMar w:top="1008" w:right="1080" w:bottom="936" w:left="1080" w:header="432" w:footer="432" w:gutter="0"/>
          <w:cols w:space="720"/>
          <w:docGrid w:linePitch="360"/>
        </w:sectPr>
      </w:pPr>
    </w:p>
    <w:p>
      <w:pPr>
        <w:pStyle w:val="Caption"/>
      </w:pPr>
      <w:r>
        <w:t>Table 8. Literature disclosure and scoring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cantSplit/>
          <w:tblHeader w:val="true"/>
        </w:trPr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Eligible records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Declared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Delegated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Absent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N/A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Undetermined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Reliability/adjudication</w:t>
            </w:r>
          </w:p>
        </w:tc>
      </w:tr>
      <w:tr>
        <w:trPr>
          <w:cantSplit/>
        </w:trPr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[component]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[n with access-conditioned denominator]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[n/%]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[n/%]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[n/%]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[n]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[n]</w:t>
            </w:r>
          </w:p>
        </w:tc>
        <w:tc>
          <w:tcPr>
            <w:tcW w:type="dxa" w:w="17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[estimate and unresolved n]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008" w:right="792" w:bottom="936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t>3.2 Decision-vector coverage and counterexamples</w:t>
      </w:r>
    </w:p>
    <w:p>
      <w:pPr>
        <w:pStyle w:val="ListBullet"/>
      </w:pPr>
      <w:r>
        <w:t>Report which methods fit the frozen vector, which require a new component, and which remain undetermined because of access.</w:t>
      </w:r>
    </w:p>
    <w:p>
      <w:pPr>
        <w:pStyle w:val="ListBullet"/>
      </w:pPr>
      <w:r>
        <w:t>Report parameter provenance and boundary operators separately from component presence.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claim:H01_VECTOR_STRUCTURE</w:t>
      </w:r>
      <w:r>
        <w:t xml:space="preserve">: </w:t>
      </w:r>
      <w:r>
        <w:rPr>
          <w:rFonts w:ascii="Liberation Mono" w:hAnsi="Liberation Mono"/>
          <w:color w:val="1F2A44"/>
          <w:sz w:val="18"/>
          <w:shd w:fill="EEF1F5"/>
        </w:rPr>
        <w:t>[UNFILLED until vector, source-map, counterexample, and prior-art gates pass]</w:t>
      </w:r>
      <w:r>
        <w:t>.</w:t>
      </w:r>
    </w:p>
    <w:p>
      <w:pPr>
        <w:pStyle w:val="Heading2"/>
      </w:pPr>
      <w:r>
        <w:t>3.3 Binding executability, conformance, and refusal</w:t>
      </w:r>
    </w:p>
    <w:p>
      <w:pPr>
        <w:pStyle w:val="ListBullet"/>
      </w:pPr>
      <w:r>
        <w:t>Flow from candidate bindings to source-reviewed, component-validated, reference-replayed, independently conformant, executed, refused, or excluded bindings.</w:t>
      </w:r>
    </w:p>
    <w:p>
      <w:pPr>
        <w:pStyle w:val="ListBullet"/>
      </w:pPr>
      <w:r>
        <w:t>Evidence vector for every included binding.</w:t>
      </w:r>
    </w:p>
    <w:p>
      <w:pPr>
        <w:pStyle w:val="ListBullet"/>
      </w:pPr>
      <w:r>
        <w:t>Refusal reasons and structurally impossible cells.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claim:H02_BINDING_DISAGREEMENT</w:t>
      </w:r>
      <w:r>
        <w:t xml:space="preserve"> prerequisites: </w:t>
      </w:r>
      <w:r>
        <w:rPr>
          <w:rFonts w:ascii="Liberation Mono" w:hAnsi="Liberation Mono"/>
          <w:color w:val="1F2A44"/>
          <w:sz w:val="18"/>
          <w:shd w:fill="EEF1F5"/>
        </w:rPr>
        <w:t>[UNFILLED until complete-binding and conformance gates pass]</w:t>
      </w:r>
      <w:r>
        <w:t>.</w:t>
      </w:r>
    </w:p>
    <w:p>
      <w:pPr>
        <w:pStyle w:val="Heading2"/>
      </w:pPr>
      <w:r>
        <w:t>3.4 Android episode, session, day, and participant disagreement</w:t>
      </w:r>
    </w:p>
    <w:p>
      <w:pPr>
        <w:pStyle w:val="ListBullet"/>
      </w:pPr>
      <w:r>
        <w:t>Episode boundary and close-reason divergence.</w:t>
      </w:r>
    </w:p>
    <w:p>
      <w:pPr>
        <w:pStyle w:val="ListBullet"/>
      </w:pPr>
      <w:r>
        <w:t>Session counts, durations, fragmentation, pickups, and device-active time.</w:t>
      </w:r>
    </w:p>
    <w:p>
      <w:pPr>
        <w:pStyle w:val="ListBullet"/>
      </w:pPr>
      <w:r>
        <w:t>Daily and participant app-active minutes on common paired-day support.</w:t>
      </w:r>
    </w:p>
    <w:p>
      <w:pPr>
        <w:pStyle w:val="ListBullet"/>
      </w:pPr>
      <w:r>
        <w:t>Whole-binding contrasts and only those component contrasts that pass the full-rank gate.</w:t>
      </w:r>
    </w:p>
    <w:p>
      <w:pPr>
        <w:pStyle w:val="ListBullet"/>
      </w:pPr>
      <w:r>
        <w:t>Pre-clean versus separately aggregated cleaning branches.</w:t>
      </w:r>
    </w:p>
    <w:p>
      <w:pPr>
        <w:pStyle w:val="ListBullet"/>
      </w:pPr>
      <w:r>
        <w:t xml:space="preserve">Primary </w:t>
      </w:r>
      <w:r>
        <w:rPr>
          <w:rFonts w:ascii="Liberation Mono" w:hAnsi="Liberation Mono"/>
          <w:color w:val="1F2A44"/>
          <w:sz w:val="18"/>
          <w:shd w:fill="EEF1F5"/>
        </w:rPr>
        <w:t>theta_b</w:t>
      </w:r>
      <w:r>
        <w:t xml:space="preserve">, global </w:t>
      </w:r>
      <w:r>
        <w:rPr>
          <w:rFonts w:ascii="Liberation Mono" w:hAnsi="Liberation Mono"/>
          <w:color w:val="1F2A44"/>
          <w:sz w:val="18"/>
          <w:shd w:fill="EEF1F5"/>
        </w:rPr>
        <w:t>Theta</w:t>
      </w:r>
      <w:r>
        <w:t xml:space="preserve">, simultaneous uncertainty, and decision relative to </w:t>
      </w:r>
      <w:r>
        <w:rPr>
          <w:rFonts w:ascii="Liberation Mono" w:hAnsi="Liberation Mono"/>
          <w:color w:val="1F2A44"/>
          <w:sz w:val="18"/>
          <w:shd w:fill="EEF1F5"/>
        </w:rPr>
        <w:t>delta</w:t>
      </w:r>
      <w:r>
        <w:t>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[UNFILLED until authorized real-data execution passes]</w:t>
      </w:r>
      <w:r>
        <w:t>.</w:t>
      </w:r>
    </w:p>
    <w:p>
      <w:pPr>
        <w:sectPr>
          <w:pgSz w:w="12240" w:h="15840"/>
          <w:pgMar w:top="1008" w:right="1080" w:bottom="936" w:left="1080" w:header="432" w:footer="432" w:gutter="0"/>
          <w:cols w:space="720"/>
          <w:docGrid w:linePitch="360"/>
        </w:sectPr>
      </w:pPr>
    </w:p>
    <w:p>
      <w:pPr>
        <w:pStyle w:val="Caption"/>
      </w:pPr>
      <w:r>
        <w:t>Table 9. Primary and secondary binding-disagreement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Binding or contrast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Signal stratum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Participants and paired days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Estimate and 95% interval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 xml:space="preserve">Decision versus </w:t>
            </w:r>
            <w:r>
              <w:rPr>
                <w:rFonts w:ascii="Arial" w:hAnsi="Arial"/>
                <w:b/>
                <w:color w:val="FFFFFF"/>
                <w:sz w:val="16"/>
                <w:shd w:fill="EEF1F5"/>
              </w:rPr>
              <w:t>delta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Rank/agreement and downstream change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[binding vs baseline]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[stratum]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[n participants / n paired days]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[theta_b or named secondary]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[material, equivalent, inconclusive]</w:t>
            </w:r>
          </w:p>
        </w:tc>
        <w:tc>
          <w:tcPr>
            <w:tcW w:type="dxa" w:w="23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6"/>
                <w:shd w:fill="EEF1F5"/>
              </w:rPr>
              <w:t>[prespecified secondary results]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008" w:right="792" w:bottom="936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t>3.5 iOS screenshot acquisition and extraction reliability</w:t>
      </w:r>
    </w:p>
    <w:p>
      <w:pPr>
        <w:pStyle w:val="ListBullet"/>
      </w:pPr>
      <w:r>
        <w:t>Screenshot flow: expected, submitted, complete, readable, supported, extracted, adjudicated, and analytically included.</w:t>
      </w:r>
    </w:p>
    <w:p>
      <w:pPr>
        <w:pStyle w:val="ListBullet"/>
      </w:pPr>
      <w:r>
        <w:t>Validation performance for every element in Table 5.</w:t>
      </w:r>
    </w:p>
    <w:p>
      <w:pPr>
        <w:pStyle w:val="ListBullet"/>
      </w:pPr>
      <w:r>
        <w:t>Error and missingness by device, iOS version, layout, mode, locale, and usage intensity.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[UNFILLED until screenshot authority, acquisition, and validation pass]</w:t>
      </w:r>
      <w:r>
        <w:t>.</w:t>
      </w:r>
    </w:p>
    <w:p>
      <w:pPr>
        <w:pStyle w:val="Heading2"/>
      </w:pPr>
      <w:r>
        <w:t>3.6 One-hour coarsening and resolution reliability</w:t>
      </w:r>
    </w:p>
    <w:p>
      <w:pPr>
        <w:pStyle w:val="ListBullet"/>
      </w:pPr>
      <w:r>
        <w:t>Report retained fine-resolution reference coverage and hourly coarsening checks.</w:t>
      </w:r>
    </w:p>
    <w:p>
      <w:pPr>
        <w:pStyle w:val="ListBullet"/>
      </w:pPr>
      <w:r>
        <w:t>Lead with temporal displacement and per-bin error, then structural-statistic and downstream preservation; use correlation-family statistics only as secondary evidence.</w:t>
      </w:r>
    </w:p>
    <w:p>
      <w:pPr>
        <w:pStyle w:val="ListBullet"/>
      </w:pPr>
      <w:r>
        <w:t>Present separate estimates at 1, 5, 10, 15, and 30 minutes.</w:t>
      </w:r>
    </w:p>
    <w:p>
      <w:pPr>
        <w:pStyle w:val="ListBullet"/>
      </w:pPr>
      <w:r>
        <w:t xml:space="preserve">Present the 60-minute row in a visually separate identity panel labelled </w:t>
      </w:r>
      <w:r>
        <w:rPr>
          <w:b/>
        </w:rPr>
        <w:t>forced by exact hourly mass preservation</w:t>
      </w:r>
      <w:r>
        <w:t>, not as empirical reliability.</w:t>
      </w:r>
    </w:p>
    <w:p>
      <w:pPr>
        <w:pStyle w:val="ListBullet"/>
      </w:pPr>
      <w:r>
        <w:t>Report variation by participant, day, usage intensity, boundary-crossing pattern, Android binding, and placement method.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claim:C04_HOURLY_PLACEMENT</w:t>
      </w:r>
      <w:r>
        <w:t xml:space="preserve">: </w:t>
      </w:r>
      <w:r>
        <w:rPr>
          <w:rFonts w:ascii="Liberation Mono" w:hAnsi="Liberation Mono"/>
          <w:color w:val="1F2A44"/>
          <w:sz w:val="18"/>
          <w:shd w:fill="EEF1F5"/>
        </w:rPr>
        <w:t>[UNFILLED until archive, independent rerun, estimand, and validation gates pass]</w:t>
      </w:r>
      <w:r>
        <w:t>.</w:t>
      </w:r>
    </w:p>
    <w:p>
      <w:pPr>
        <w:pStyle w:val="Caption"/>
      </w:pPr>
      <w:r>
        <w:t>Figure 3. Resolution-specific recovery</w:t>
      </w:r>
    </w:p>
    <w:p>
      <w:pPr>
        <w:pStyle w:val="ListBullet"/>
      </w:pPr>
      <w:r>
        <w:t>Panel A: distribution of mass-weighted temporal displacement.</w:t>
      </w:r>
    </w:p>
    <w:p>
      <w:pPr>
        <w:pStyle w:val="ListBullet"/>
      </w:pPr>
      <w:r>
        <w:t xml:space="preserve">Panel B: MAE/RMSE and </w:t>
      </w:r>
      <w:r>
        <w:rPr>
          <w:rFonts w:ascii="Liberation Mono" w:hAnsi="Liberation Mono"/>
          <w:color w:val="1F2A44"/>
          <w:sz w:val="18"/>
          <w:shd w:fill="EEF1F5"/>
        </w:rPr>
        <w:t>lambda(Delta)</w:t>
      </w:r>
      <w:r>
        <w:t xml:space="preserve"> by resolution with the 60-minute identity visually marked.</w:t>
      </w:r>
    </w:p>
    <w:p>
      <w:pPr>
        <w:pStyle w:val="ListBullet"/>
      </w:pPr>
      <w:r>
        <w:t>Panel C: recovery of bout count, autocorrelation, entropy, and time-of-day summaries.</w:t>
      </w:r>
    </w:p>
    <w:p>
      <w:pPr>
        <w:pStyle w:val="ListBullet"/>
      </w:pPr>
      <w:r>
        <w:t>Panel D: participant/day heterogeneity and intended-use regions.</w:t>
      </w:r>
    </w:p>
    <w:p>
      <w:pPr>
        <w:pStyle w:val="Heading2"/>
      </w:pPr>
      <w:r>
        <w:t>3.7 Common-resolution iOS and Android comparison</w:t>
      </w:r>
    </w:p>
    <w:p>
      <w:pPr>
        <w:pStyle w:val="ListBullet"/>
      </w:pPr>
      <w:r>
        <w:t>Validated hourly and daily iOS Screenshot outputs.</w:t>
      </w:r>
    </w:p>
    <w:p>
      <w:pPr>
        <w:pStyle w:val="ListBullet"/>
      </w:pPr>
      <w:r>
        <w:t>Android binding outputs aggregated to identical clock windows.</w:t>
      </w:r>
    </w:p>
    <w:p>
      <w:pPr>
        <w:pStyle w:val="ListBullet"/>
      </w:pPr>
      <w:r>
        <w:t>Digital Wellbeing comparison only if same-device paired data are collected.</w:t>
      </w:r>
    </w:p>
    <w:p>
      <w:pPr>
        <w:pStyle w:val="ListBullet"/>
      </w:pPr>
      <w:r>
        <w:t>Agreement or distributional results only for construct-compatible outputs; otherwise report the incompatibility itself.</w:t>
      </w:r>
    </w:p>
    <w:p>
      <w:pPr>
        <w:pStyle w:val="ListBullet"/>
      </w:pPr>
      <w:r>
        <w:t>Separate screenshot extraction error, vendor aggregation uncertainty, Android reconstruction uncertainty, and within-hour placement uncertainty.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[UNFILLED; no cross-platform ground-truth claim is currently permitted]</w:t>
      </w:r>
      <w:r>
        <w:t>.</w:t>
      </w:r>
    </w:p>
    <w:p>
      <w:pPr>
        <w:pStyle w:val="Caption"/>
      </w:pPr>
      <w:r>
        <w:t>Figure 4. Cross-platform measurement bridge</w:t>
      </w:r>
    </w:p>
    <w:p>
      <w:pPr>
        <w:pStyle w:val="ListBullet"/>
      </w:pPr>
      <w:r>
        <w:t>Panel A: observed output and hidden-decision layers by instrument.</w:t>
      </w:r>
    </w:p>
    <w:p>
      <w:pPr>
        <w:pStyle w:val="ListBullet"/>
      </w:pPr>
      <w:r>
        <w:t>Panel B: hourly/daily common-scale comparison where admissible.</w:t>
      </w:r>
    </w:p>
    <w:p>
      <w:pPr>
        <w:pStyle w:val="ListBullet"/>
      </w:pPr>
      <w:r>
        <w:t>Panel C: uncertainty budget partitioned into capture, aggregation, reconstruction, and placement layers without claiming unidentified components are separable.</w:t>
      </w:r>
    </w:p>
    <w:p>
      <w:pPr>
        <w:pStyle w:val="Heading2"/>
      </w:pPr>
      <w:r>
        <w:t>3.8 Downstream model and conclusion sensitivity</w:t>
      </w:r>
    </w:p>
    <w:p>
      <w:pPr>
        <w:pStyle w:val="ListBullet"/>
      </w:pPr>
      <w:r>
        <w:t>Coefficient and interval changes across admissible bindings and supported resolutions.</w:t>
      </w:r>
    </w:p>
    <w:p>
      <w:pPr>
        <w:pStyle w:val="ListBullet"/>
      </w:pPr>
      <w:r>
        <w:t>Participant-rank and threshold-classification changes.</w:t>
      </w:r>
    </w:p>
    <w:p>
      <w:pPr>
        <w:pStyle w:val="ListBullet"/>
      </w:pPr>
      <w:r>
        <w:t>Changes in direction, significance language, or substantive conclusion.</w:t>
      </w:r>
    </w:p>
    <w:p>
      <w:pPr>
        <w:pStyle w:val="ListBullet"/>
      </w:pPr>
      <w:r>
        <w:rPr>
          <w:rFonts w:ascii="Liberation Mono" w:hAnsi="Liberation Mono"/>
          <w:color w:val="1F2A44"/>
          <w:sz w:val="18"/>
          <w:shd w:fill="EEF1F5"/>
        </w:rPr>
        <w:t>[UNFILLED until preregistration, data authority, and execution gates pass]</w:t>
      </w:r>
      <w:r>
        <w:t>.</w:t>
      </w:r>
    </w:p>
    <w:p>
      <w:pPr>
        <w:pStyle w:val="Heading2"/>
      </w:pPr>
      <w:r>
        <w:t>3.9 Robustness, failure, and performance results</w:t>
      </w:r>
    </w:p>
    <w:p>
      <w:pPr>
        <w:pStyle w:val="ListBullet"/>
      </w:pPr>
      <w:r>
        <w:t>Report missingness and sensitivity to clock alignment, partial days, shared devices, package/cleaning policy, and screenshot uncertainty.</w:t>
      </w:r>
    </w:p>
    <w:p>
      <w:pPr>
        <w:pStyle w:val="ListBullet"/>
      </w:pPr>
      <w:r>
        <w:t>Treat runtime and reproducibility as operational evidence, not the scientific contribution.</w:t>
      </w:r>
    </w:p>
    <w:p>
      <w:pPr>
        <w:pStyle w:val="Heading1"/>
      </w:pPr>
      <w:r>
        <w:t>4. Discussion</w:t>
      </w:r>
    </w:p>
    <w:p>
      <w:pPr>
        <w:pStyle w:val="Heading2"/>
      </w:pPr>
      <w:r>
        <w:t>4.1 Principal findings by research question</w:t>
      </w:r>
    </w:p>
    <w:p>
      <w:pPr>
        <w:pStyle w:val="ListBullet"/>
      </w:pPr>
      <w:r>
        <w:t>Answer RQ1-RQ7 in the same order used in the Introduction and Results.</w:t>
      </w:r>
    </w:p>
    <w:p>
      <w:pPr>
        <w:pStyle w:val="ListBullet"/>
      </w:pPr>
      <w:r>
        <w:t>Distinguish unsupported, inconclusive, practically equivalent, and materially different findings.</w:t>
      </w:r>
    </w:p>
    <w:p>
      <w:pPr>
        <w:pStyle w:val="ListBullet"/>
      </w:pPr>
      <w:r>
        <w:t>Do not substitute high correlation or stable ranks for absolute agreement.</w:t>
      </w:r>
    </w:p>
    <w:p>
      <w:pPr>
        <w:pStyle w:val="Heading2"/>
      </w:pPr>
      <w:r>
        <w:t>4.2 What one-hour reliability means - and does not mean</w:t>
      </w:r>
    </w:p>
    <w:p>
      <w:pPr>
        <w:pStyle w:val="ListBullet"/>
      </w:pPr>
      <w:r>
        <w:t>Exact agreement at 60 minutes follows from the mass-preserving constraint.</w:t>
      </w:r>
    </w:p>
    <w:p>
      <w:pPr>
        <w:pStyle w:val="ListBullet"/>
      </w:pPr>
      <w:r>
        <w:t>The relevant empirical evidence is below-hour placement, structural-statistic recovery, and downstream stability.</w:t>
      </w:r>
    </w:p>
    <w:p>
      <w:pPr>
        <w:pStyle w:val="ListBullet"/>
      </w:pPr>
      <w:r>
        <w:t>A method can preserve daily or hourly totals yet misplace use enough to alter bedtime windows, fragmentation, pickups, sequence, or intervention-trigger analyses.</w:t>
      </w:r>
    </w:p>
    <w:p>
      <w:pPr>
        <w:pStyle w:val="ListBullet"/>
      </w:pPr>
      <w:r>
        <w:t>Resolution must therefore be selected for the intended claim, not described as globally valid.</w:t>
      </w:r>
    </w:p>
    <w:p>
      <w:pPr>
        <w:pStyle w:val="Heading2"/>
      </w:pPr>
      <w:r>
        <w:t>4.3 Android and iOS are not interchangeable measurement channels</w:t>
      </w:r>
    </w:p>
    <w:p>
      <w:pPr>
        <w:pStyle w:val="ListBullet"/>
      </w:pPr>
      <w:r>
        <w:t>Android event logs permit alternative auditable bindings but remain incomplete observations.</w:t>
      </w:r>
    </w:p>
    <w:p>
      <w:pPr>
        <w:pStyle w:val="ListBullet"/>
      </w:pPr>
      <w:r>
        <w:t>iOS screenshots provide real rendered outputs but hide upstream semantics and add extraction error.</w:t>
      </w:r>
    </w:p>
    <w:p>
      <w:pPr>
        <w:pStyle w:val="ListBullet"/>
      </w:pPr>
      <w:r>
        <w:t>Android coarsening validates a recovery procedure under retained Android timing; it does not reveal Apple's raw-to-bar transformation.</w:t>
      </w:r>
    </w:p>
    <w:p>
      <w:pPr>
        <w:pStyle w:val="ListBullet"/>
      </w:pPr>
      <w:r>
        <w:t>A same-device Android Digital Wellbeing comparison could calibrate a vendor-summary layer, but it cannot be transferred to iOS without a separate design.</w:t>
      </w:r>
    </w:p>
    <w:p>
      <w:pPr>
        <w:pStyle w:val="Heading2"/>
      </w:pPr>
      <w:r>
        <w:t>4.4 Implications for screen-time research</w:t>
      </w:r>
    </w:p>
    <w:p>
      <w:pPr>
        <w:pStyle w:val="ListBullet"/>
      </w:pPr>
      <w:r>
        <w:t>Explain implications for child and family studies, shared devices, temporal-pattern research, intervention thresholds, prevalence estimates, and cross-study pooling.</w:t>
      </w:r>
    </w:p>
    <w:p>
      <w:pPr>
        <w:pStyle w:val="ListBullet"/>
      </w:pPr>
      <w:r>
        <w:t>Report reconstruction and observation uncertainty alongside estimates used for substantive claims.</w:t>
      </w:r>
    </w:p>
    <w:p>
      <w:pPr>
        <w:pStyle w:val="ListBullet"/>
      </w:pPr>
      <w:r>
        <w:t>Distinguish reproducibility, agreement, validity, and transportability.</w:t>
      </w:r>
    </w:p>
    <w:p>
      <w:pPr>
        <w:pStyle w:val="Heading2"/>
      </w:pPr>
      <w:r>
        <w:t>4.5 Minimum reporting standard</w:t>
      </w:r>
    </w:p>
    <w:p>
      <w:pPr>
        <w:pStyle w:val="ListBullet"/>
      </w:pPr>
      <w:r>
        <w:t>Instrument, platform and version, acquisition path, observable event/output vocabulary, cadence, and coverage.</w:t>
      </w:r>
    </w:p>
    <w:p>
      <w:pPr>
        <w:pStyle w:val="ListBullet"/>
      </w:pPr>
      <w:r>
        <w:t>Event retention, opener, closer, pairing, orphan, duplicate, collision, device-state, reboot, censoring, time-zone, and day-boundary rules.</w:t>
      </w:r>
    </w:p>
    <w:p>
      <w:pPr>
        <w:pStyle w:val="ListBullet"/>
      </w:pPr>
      <w:r>
        <w:t>Grouping, thresholds, caps/floors, package policy, aggregation, denominators, and cleaning.</w:t>
      </w:r>
    </w:p>
    <w:p>
      <w:pPr>
        <w:pStyle w:val="ListBullet"/>
      </w:pPr>
      <w:r>
        <w:t>Screenshot capture, OCR/human validation, missingness, layout/version support, and cross-device settings where vendor summaries are used.</w:t>
      </w:r>
    </w:p>
    <w:p>
      <w:pPr>
        <w:pStyle w:val="ListBullet"/>
      </w:pPr>
      <w:r>
        <w:t>Parameter provenance, complete binding, implementation revision, conformance, uncertainty, and sensitivity analysis.</w:t>
      </w:r>
    </w:p>
    <w:p>
      <w:pPr>
        <w:pStyle w:val="Caption"/>
        <w:pageBreakBefore/>
      </w:pPr>
      <w:r>
        <w:t>Table 10. Minimum reporting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8"/>
              </w:rPr>
              <w:t>Reporting domain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8"/>
              </w:rPr>
              <w:t>Required disclosure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8"/>
              </w:rPr>
              <w:t>Scientific component IDs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1F2A44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8"/>
              </w:rPr>
              <w:t>Machine-readable evidence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Instrument and acquisition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Platform/version, signal/output, cadence, permissions, coverage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8"/>
                <w:shd w:fill="EEF1F5"/>
              </w:rPr>
              <w:t>[generated mapping]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Input and acquisition manifest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Reconstruction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Event, opener/closer, pairing, orphan/duplicate/collision/device-state policies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8"/>
                <w:shd w:fill="EEF1F5"/>
              </w:rPr>
              <w:t>[generated mapping]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Complete binding and execution receipt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Time and aggregation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Time zone, DST, day boundary, bins, denominator, partial-day rules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8"/>
                <w:shd w:fill="EEF1F5"/>
              </w:rPr>
              <w:t>[generated mapping]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Aggregation manifest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Cleaning and inclusion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Filters, caps/floors, exclusions, missingness, participant/day rules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8"/>
                <w:shd w:fill="EEF1F5"/>
              </w:rPr>
              <w:t>[generated mapping]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Cleaning and attrition receipt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Screenshot/vendor output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Capture protocol, OCR/human validation, version/layout, cross-device setting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8"/>
                <w:shd w:fill="EEF1F5"/>
              </w:rPr>
              <w:t>[generated mapping]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Image digest, extraction and adjudication record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Validation and reporting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Source review, conformance, uncertainty, sensitivity, code/data revision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color w:val="1F2A44"/>
                <w:sz w:val="18"/>
                <w:shd w:fill="EEF1F5"/>
              </w:rPr>
              <w:t>[generated mapping]</w:t>
            </w:r>
          </w:p>
        </w:tc>
        <w:tc>
          <w:tcPr>
            <w:tcW w:type="dxa" w:w="25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7F8FB"/>
          </w:tcPr>
          <w:p>
            <w:pPr>
              <w:spacing w:after="30"/>
            </w:pPr>
            <w:r>
              <w:rPr>
                <w:rFonts w:ascii="Arial" w:hAnsi="Arial"/>
                <w:sz w:val="18"/>
              </w:rPr>
              <w:t>Evidence vector and reproducibility bundle</w:t>
            </w:r>
          </w:p>
        </w:tc>
      </w:tr>
    </w:tbl>
    <w:p>
      <w:pPr>
        <w:spacing w:after="40"/>
      </w:pPr>
    </w:p>
    <w:p>
      <w:pPr>
        <w:pStyle w:val="Heading2"/>
      </w:pPr>
      <w:r>
        <w:t>4.6 Strengths and limitations</w:t>
      </w:r>
    </w:p>
    <w:p>
      <w:pPr>
        <w:pStyle w:val="ListBullet"/>
      </w:pPr>
      <w:r>
        <w:t>Strengths: common raw stream, complete bindings, explicit conformance and refusal, multi-level outcomes, retained fine timing for coarsening validation, and separation of capture, reconstruction, placement, and cleaning.</w:t>
      </w:r>
    </w:p>
    <w:p>
      <w:pPr>
        <w:pStyle w:val="ListBullet"/>
      </w:pPr>
      <w:r>
        <w:t>Limitations: no universal behavioral ground truth; incomplete source/code access; iOS hidden aggregation; screenshot error and nonresponse; Android-to-iOS transport assumptions; platform and layout drift; shared-device attribution; restricted-data reproducibility; and incomplete delivery axes or conformance where applicable.</w:t>
      </w:r>
    </w:p>
    <w:p>
      <w:pPr>
        <w:pStyle w:val="ListBullet"/>
      </w:pPr>
      <w:r>
        <w:t>State explicitly whether the iOS and Digital Wellbeing studies remained protocols rather than empirical results.</w:t>
      </w:r>
    </w:p>
    <w:p>
      <w:pPr>
        <w:pStyle w:val="Heading1"/>
      </w:pPr>
      <w:r>
        <w:t>5. Conclusion</w:t>
      </w:r>
    </w:p>
    <w:p>
      <w:pPr>
        <w:pStyle w:val="ListBullet"/>
      </w:pPr>
      <w:r>
        <w:t>Return to the distinction between observing an event or summary and defining a measure.</w:t>
      </w:r>
    </w:p>
    <w:p>
      <w:pPr>
        <w:pStyle w:val="ListBullet"/>
      </w:pPr>
      <w:r>
        <w:t>State which components, bindings, resolutions, and outputs were empirically supported.</w:t>
      </w:r>
    </w:p>
    <w:p>
      <w:pPr>
        <w:pStyle w:val="ListBullet"/>
      </w:pPr>
      <w:r>
        <w:t>State whether measurement choice changed absolute estimates, ranks, agreement, or substantive conclusions, without extrapolating beyond the authorized instruments and cohorts.</w:t>
      </w:r>
    </w:p>
    <w:p>
      <w:pPr>
        <w:pStyle w:val="ListBullet"/>
      </w:pPr>
      <w:r>
        <w:t>End with the reporting implication: a screen-time number is reproducible only when its instrument, complete decision vector, validation evidence, and uncertainty are reportable.</w:t>
      </w:r>
    </w:p>
    <w:p>
      <w:pPr>
        <w:pStyle w:val="Heading1"/>
      </w:pPr>
      <w:r>
        <w:t>Planned figures and tables at a glance</w:t>
      </w:r>
    </w:p>
    <w:p>
      <w:pPr>
        <w:pStyle w:val="Heading2"/>
      </w:pPr>
      <w:r>
        <w:t>Main-text tables</w:t>
      </w:r>
    </w:p>
    <w:p>
      <w:pPr>
        <w:pStyle w:val="NumberedItem"/>
      </w:pPr>
      <w:r>
        <w:t>1. Table 1. Study aims, evidence streams, and present status.</w:t>
      </w:r>
    </w:p>
    <w:p>
      <w:pPr>
        <w:pStyle w:val="NumberedItem"/>
      </w:pPr>
      <w:r>
        <w:t>2. Table 2. Instrument and output comparison.</w:t>
      </w:r>
    </w:p>
    <w:p>
      <w:pPr>
        <w:pStyle w:val="NumberedItem"/>
      </w:pPr>
      <w:r>
        <w:t>3. Table 3. Event-to-measure component rubric.</w:t>
      </w:r>
    </w:p>
    <w:p>
      <w:pPr>
        <w:pStyle w:val="NumberedItem"/>
      </w:pPr>
      <w:r>
        <w:t>4. Table 4. Complete binding evidence and conformance matrix.</w:t>
      </w:r>
    </w:p>
    <w:p>
      <w:pPr>
        <w:pStyle w:val="NumberedItem"/>
      </w:pPr>
      <w:r>
        <w:t>5. Table 5. Screenshot extraction validation plan/results.</w:t>
      </w:r>
    </w:p>
    <w:p>
      <w:pPr>
        <w:pStyle w:val="NumberedItem"/>
      </w:pPr>
      <w:r>
        <w:t>6. Table 6. Resolution-recovery results at 1, 5, 10, 15, 30, and 60 minutes.</w:t>
      </w:r>
    </w:p>
    <w:p>
      <w:pPr>
        <w:pStyle w:val="NumberedItem"/>
      </w:pPr>
      <w:r>
        <w:t>7. Table 7. Common-resolution Android and iOS comparison.</w:t>
      </w:r>
    </w:p>
    <w:p>
      <w:pPr>
        <w:pStyle w:val="NumberedItem"/>
      </w:pPr>
      <w:r>
        <w:t>8. Table 8. Literature disclosure and scoring results.</w:t>
      </w:r>
    </w:p>
    <w:p>
      <w:pPr>
        <w:pStyle w:val="NumberedItem"/>
      </w:pPr>
      <w:r>
        <w:t>9. Table 9. Primary and secondary binding-disagreement results.</w:t>
      </w:r>
    </w:p>
    <w:p>
      <w:pPr>
        <w:pStyle w:val="NumberedItem"/>
      </w:pPr>
      <w:r>
        <w:t>10. Table 10. Minimum reporting checklist.</w:t>
      </w:r>
    </w:p>
    <w:p>
      <w:pPr>
        <w:pStyle w:val="Heading2"/>
      </w:pPr>
      <w:r>
        <w:t>Main-text figures</w:t>
      </w:r>
    </w:p>
    <w:p>
      <w:pPr>
        <w:pStyle w:val="NumberedItem"/>
      </w:pPr>
      <w:r>
        <w:t>1. Figure 1. Event-to-summary decision graph.</w:t>
      </w:r>
    </w:p>
    <w:p>
      <w:pPr>
        <w:pStyle w:val="NumberedItem"/>
      </w:pPr>
      <w:r>
        <w:t>2. Figure 2. Android coarsening, recovery, and iOS screenshot observation design.</w:t>
      </w:r>
    </w:p>
    <w:p>
      <w:pPr>
        <w:pStyle w:val="NumberedItem"/>
      </w:pPr>
      <w:r>
        <w:t>3. Figure 3. Resolution-specific temporal recovery.</w:t>
      </w:r>
    </w:p>
    <w:p>
      <w:pPr>
        <w:pStyle w:val="NumberedItem"/>
      </w:pPr>
      <w:r>
        <w:t>4. Figure 4. Cross-platform measurement bridge and uncertainty layers.</w:t>
      </w:r>
    </w:p>
    <w:p>
      <w:pPr>
        <w:pStyle w:val="NumberedItem"/>
      </w:pPr>
      <w:r>
        <w:t>5. Figure 5. Literature component-disclosure heat map.</w:t>
      </w:r>
    </w:p>
    <w:p>
      <w:pPr>
        <w:pStyle w:val="NumberedItem"/>
      </w:pPr>
      <w:r>
        <w:t>6. Figure 6. Android binding specification curve and pairwise disagreement.</w:t>
      </w:r>
    </w:p>
    <w:p>
      <w:pPr>
        <w:pStyle w:val="NumberedItem"/>
      </w:pPr>
      <w:r>
        <w:t>7. Figure 7. Downstream model and conclusion sensitivity.</w:t>
      </w:r>
    </w:p>
    <w:p>
      <w:pPr>
        <w:pStyle w:val="Heading1"/>
      </w:pPr>
      <w:r>
        <w:t>Supplementary material and authoring appendices</w:t>
      </w:r>
    </w:p>
    <w:p>
      <w:pPr>
        <w:pStyle w:val="Heading2"/>
      </w:pPr>
      <w:r>
        <w:t>Appendix A. Canonical claim and gate crosswalk</w:t>
      </w:r>
    </w:p>
    <w:p>
      <w:pPr>
        <w:pStyle w:val="ListBullet"/>
      </w:pPr>
      <w:r>
        <w:t xml:space="preserve">Generate from </w:t>
      </w:r>
      <w:r>
        <w:rPr>
          <w:rFonts w:ascii="Liberation Mono" w:hAnsi="Liberation Mono"/>
          <w:color w:val="1F2A44"/>
          <w:sz w:val="18"/>
          <w:shd w:fill="EEF1F5"/>
        </w:rPr>
        <w:t>claim-ledger.yaml</w:t>
      </w:r>
      <w:r>
        <w:t>; do not hand-maintain alternate canonical statements.</w:t>
      </w:r>
    </w:p>
    <w:p>
      <w:pPr>
        <w:pStyle w:val="ListBullet"/>
      </w:pPr>
      <w:r>
        <w:t>Include all exact status tuples, required gate IDs, prohibited inferences, and result eligibility.</w:t>
      </w:r>
    </w:p>
    <w:p>
      <w:pPr>
        <w:pStyle w:val="ListBullet"/>
      </w:pPr>
      <w:r>
        <w:t>Keep engineering implementation and deployment status out of scientific Results.</w:t>
      </w:r>
    </w:p>
    <w:p>
      <w:pPr>
        <w:pStyle w:val="Heading2"/>
      </w:pPr>
      <w:r>
        <w:t>Appendix B. Full component rubric and coding instrument</w:t>
      </w:r>
    </w:p>
    <w:p>
      <w:pPr>
        <w:pStyle w:val="ListBullet"/>
      </w:pPr>
      <w:r>
        <w:t>All 21 canonical components and definitions.</w:t>
      </w:r>
    </w:p>
    <w:p>
      <w:pPr>
        <w:pStyle w:val="ListBullet"/>
      </w:pPr>
      <w:r>
        <w:t>Access, eligibility, disclosure, adjudication, and parameter-provenance rules.</w:t>
      </w:r>
    </w:p>
    <w:p>
      <w:pPr>
        <w:pStyle w:val="ListBullet"/>
      </w:pPr>
      <w:r>
        <w:t>Independent scoring and reconciliation protocol.</w:t>
      </w:r>
    </w:p>
    <w:p>
      <w:pPr>
        <w:pStyle w:val="Heading2"/>
      </w:pPr>
      <w:r>
        <w:t>Appendix C. Complete binding registry</w:t>
      </w:r>
    </w:p>
    <w:p>
      <w:pPr>
        <w:pStyle w:val="ListBullet"/>
      </w:pPr>
      <w:r>
        <w:t>Source lineage, full parameter expansion, compatibility, signal stratum, and version.</w:t>
      </w:r>
    </w:p>
    <w:p>
      <w:pPr>
        <w:pStyle w:val="ListBullet"/>
      </w:pPr>
      <w:r>
        <w:t>Source/component/replay/conformance evidence vector.</w:t>
      </w:r>
    </w:p>
    <w:p>
      <w:pPr>
        <w:pStyle w:val="ListBullet"/>
      </w:pPr>
      <w:r>
        <w:t>Included, excluded, structurally unavailable, and refused cells with reasons.</w:t>
      </w:r>
    </w:p>
    <w:p>
      <w:pPr>
        <w:pStyle w:val="Heading2"/>
      </w:pPr>
      <w:r>
        <w:t>Appendix D. iOS screenshot and one-hour resolution protocol</w:t>
      </w:r>
    </w:p>
    <w:p>
      <w:pPr>
        <w:pStyle w:val="ListBullet"/>
      </w:pPr>
      <w:r>
        <w:t>Capture instructions and supported-layout inventory.</w:t>
      </w:r>
    </w:p>
    <w:p>
      <w:pPr>
        <w:pStyle w:val="ListBullet"/>
      </w:pPr>
      <w:r>
        <w:t>Annotation manual, OCR validation set, and adjudication rules.</w:t>
      </w:r>
    </w:p>
    <w:p>
      <w:pPr>
        <w:pStyle w:val="ListBullet"/>
      </w:pPr>
      <w:r>
        <w:t>Coarsening, placement, and resolution-analysis specification.</w:t>
      </w:r>
    </w:p>
    <w:p>
      <w:pPr>
        <w:pStyle w:val="ListBullet"/>
      </w:pPr>
      <w:r>
        <w:t>Structural 60-minute identity proof and prohibited interpretation.</w:t>
      </w:r>
    </w:p>
    <w:p>
      <w:pPr>
        <w:pStyle w:val="ListBullet"/>
      </w:pPr>
      <w:r>
        <w:t>Common-resolution Android/iOS harmonization rules.</w:t>
      </w:r>
    </w:p>
    <w:p>
      <w:pPr>
        <w:pStyle w:val="Heading2"/>
      </w:pPr>
      <w:r>
        <w:t>Appendix E. Reproducibility and data availability</w:t>
      </w:r>
    </w:p>
    <w:p>
      <w:pPr>
        <w:pStyle w:val="ListBullet"/>
      </w:pPr>
      <w:r>
        <w:t>Source, environment, runtime, configuration, input and output digests.</w:t>
      </w:r>
    </w:p>
    <w:p>
      <w:pPr>
        <w:pStyle w:val="ListBullet"/>
      </w:pPr>
      <w:r>
        <w:t>Public fixtures and restricted-data access route.</w:t>
      </w:r>
    </w:p>
    <w:p>
      <w:pPr>
        <w:pStyle w:val="ListBullet"/>
      </w:pPr>
      <w:r>
        <w:t>Machine-readable manifests, codebooks, conformance receipts, and analysis scripts.</w:t>
      </w:r>
    </w:p>
    <w:p>
      <w:pPr>
        <w:pStyle w:val="Heading2"/>
      </w:pPr>
      <w:r>
        <w:t>Authoring-only annex</w:t>
      </w:r>
    </w:p>
    <w:p>
      <w:pPr>
        <w:pStyle w:val="ListBullet"/>
      </w:pPr>
      <w:r>
        <w:t>Current delivery-axis and branch status, recovery history, PR/merge/deploy/canary records, source hierarchy, defect-history exclusions, and invalid pre-fix results.</w:t>
      </w:r>
    </w:p>
    <w:p>
      <w:pPr>
        <w:pStyle w:val="ListBullet"/>
      </w:pPr>
      <w:r>
        <w:t>These controls support auditability but do not appear as scientific findings in the manuscript.</w:t>
      </w:r>
    </w:p>
    <w:sectPr w:rsidR="00FC693F" w:rsidRPr="0006063C" w:rsidSect="00034616"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670"/>
        <w:sz w:val="16"/>
      </w:rPr>
      <w:t xml:space="preserve">2026-08-11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B5670"/>
        <w:sz w:val="15"/>
      </w:rPr>
      <w:t>CONSTRUCTING SCREEN TIME  |  MILESTONE-ZERO OUTLINE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b w:val="0"/>
      <w:color w:val="0F17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E8A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/>
      <w:i/>
      <w:iCs/>
      <w:color w:val="0E8A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rial" w:hAnsi="Arial" w:eastAsia="Arial"/>
      <w:b w:val="0"/>
      <w:color w:val="0F1729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rial" w:hAnsi="Arial" w:eastAsia="Arial"/>
      <w:b w:val="0"/>
      <w:color w:val="0F1729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60" w:after="80"/>
    </w:pPr>
    <w:rPr>
      <w:rFonts w:ascii="Arial" w:hAnsi="Arial" w:eastAsia="Arial"/>
      <w:b/>
      <w:bCs/>
      <w:color w:val="1F2A44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mberedItem">
    <w:name w:val="Numbered Item"/>
    <w:pPr>
      <w:spacing w:after="50"/>
      <w:ind w:left="346" w:hanging="259"/>
    </w:pPr>
    <w:rPr>
      <w:rFonts w:ascii="Arial" w:hAnsi="Arial" w:eastAsia="Arial"/>
      <w:b w:val="0"/>
      <w:color w:val="0F1729"/>
      <w:sz w:val="20"/>
    </w:rPr>
  </w:style>
  <w:style w:type="paragraph" w:customStyle="1" w:styleId="CodeBlock">
    <w:name w:val="Code Block"/>
    <w:pPr>
      <w:spacing w:before="80" w:after="120"/>
      <w:ind w:left="259" w:right="115"/>
    </w:pPr>
    <w:rPr>
      <w:rFonts w:ascii="Liberation Mono" w:hAnsi="Liberation Mono" w:eastAsia="Liberation Mono"/>
      <w:b w:val="0"/>
      <w:color w:val="1F2A44"/>
      <w:sz w:val="17"/>
    </w:rPr>
  </w:style>
  <w:style w:type="paragraph" w:customStyle="1" w:styleId="Callout">
    <w:name w:val="Callout"/>
    <w:pPr>
      <w:spacing w:before="100" w:after="140"/>
      <w:ind w:left="259" w:right="115"/>
    </w:pPr>
    <w:rPr>
      <w:rFonts w:ascii="Arial" w:hAnsi="Arial" w:eastAsia="Arial"/>
      <w:b w:val="0"/>
      <w:color w:val="0F172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Constructing Screen Time: From Typed Android Events to Cross-Platform Measures</dc:title>
  <dc:subject>Detailed manuscript outline</dc:subject>
  <dc:creator>Chronicle research team</dc:creator>
  <cp:keywords>screen time, Android, iOS, measurement, temporal resolution, validation</cp:keywords>
  <dc:description>Generated from docs/paper/paper-outline.md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