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oc-02-brake-inspection-procedure"/>
    <w:p>
      <w:pPr>
        <w:pStyle w:val="Heading1"/>
      </w:pPr>
      <w:r>
        <w:t xml:space="preserve">DOC-02 Brake Inspection Procedure</w:t>
      </w:r>
    </w:p>
    <w:p>
      <w:pPr>
        <w:pStyle w:val="FirstParagraph"/>
      </w:pPr>
      <w:r>
        <w:t xml:space="preserve">Document ID: DOC-02 | Version 1.0 | Owner: Fleet Maintenance | Applies to: tractor units and trailers with air brakes</w:t>
      </w:r>
    </w:p>
    <w:p>
      <w:pPr>
        <w:pStyle w:val="BlockText"/>
      </w:pPr>
      <w:r>
        <w:t xml:space="preserve">Training document written for a portfolio project. Figures are illustrative and not official guidance.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procedure sets how often brakes are inspected and what the mechanic checks. Brakes are safety-critical. If you are unsure about any step, stop and ask your supervisor.</w:t>
      </w:r>
    </w:p>
    <w:bookmarkEnd w:id="20"/>
    <w:bookmarkStart w:id="21" w:name="inspection-interval"/>
    <w:p>
      <w:pPr>
        <w:pStyle w:val="Heading2"/>
      </w:pPr>
      <w:r>
        <w:t xml:space="preserve">2. Inspection interval</w:t>
      </w:r>
    </w:p>
    <w:p>
      <w:pPr>
        <w:numPr>
          <w:ilvl w:val="0"/>
          <w:numId w:val="1001"/>
        </w:numPr>
        <w:pStyle w:val="Compact"/>
      </w:pPr>
      <w:r>
        <w:t xml:space="preserve">Tractor units: a full brake inspection every 6 weeks or every 10,000 km, whichever comes first.</w:t>
      </w:r>
    </w:p>
    <w:p>
      <w:pPr>
        <w:numPr>
          <w:ilvl w:val="0"/>
          <w:numId w:val="1001"/>
        </w:numPr>
        <w:pStyle w:val="Compact"/>
      </w:pPr>
      <w:r>
        <w:t xml:space="preserve">Trailers: a full brake inspection every 8 weeks.</w:t>
      </w:r>
    </w:p>
    <w:p>
      <w:pPr>
        <w:numPr>
          <w:ilvl w:val="0"/>
          <w:numId w:val="1001"/>
        </w:numPr>
        <w:pStyle w:val="Compact"/>
      </w:pPr>
      <w:r>
        <w:t xml:space="preserve">Any vehicle that has been in a collision, or reported a brake defect, gets an inspection before returning to service, whatever the schedule says.</w:t>
      </w:r>
    </w:p>
    <w:p>
      <w:pPr>
        <w:numPr>
          <w:ilvl w:val="0"/>
          <w:numId w:val="1001"/>
        </w:numPr>
        <w:pStyle w:val="Compact"/>
      </w:pPr>
      <w:r>
        <w:t xml:space="preserve">Drivers also check brakes at every pre-trip inspection (see DOC-01, section 5).</w:t>
      </w:r>
    </w:p>
    <w:bookmarkEnd w:id="21"/>
    <w:bookmarkStart w:id="22" w:name="lining-and-pad-wear-limits"/>
    <w:p>
      <w:pPr>
        <w:pStyle w:val="Heading2"/>
      </w:pPr>
      <w:r>
        <w:t xml:space="preserve">3. Lining and pad wear limits</w:t>
      </w:r>
    </w:p>
    <w:p>
      <w:pPr>
        <w:numPr>
          <w:ilvl w:val="0"/>
          <w:numId w:val="1002"/>
        </w:numPr>
        <w:pStyle w:val="Compact"/>
      </w:pPr>
      <w:r>
        <w:t xml:space="preserve">Disc brake pads: replace when friction material is less than 3 mm thick.</w:t>
      </w:r>
    </w:p>
    <w:p>
      <w:pPr>
        <w:numPr>
          <w:ilvl w:val="0"/>
          <w:numId w:val="1002"/>
        </w:numPr>
        <w:pStyle w:val="Compact"/>
      </w:pPr>
      <w:r>
        <w:t xml:space="preserve">Drum brake shoe linings: replace when friction material is less than 6 mm thick.</w:t>
      </w:r>
    </w:p>
    <w:p>
      <w:pPr>
        <w:numPr>
          <w:ilvl w:val="0"/>
          <w:numId w:val="1002"/>
        </w:numPr>
        <w:pStyle w:val="Compact"/>
      </w:pPr>
      <w:r>
        <w:t xml:space="preserve">Replace brake parts in axle sets (both wheel ends on the same axle), never one side only.</w:t>
      </w:r>
    </w:p>
    <w:bookmarkEnd w:id="22"/>
    <w:bookmarkStart w:id="23" w:name="drums-and-rotors"/>
    <w:p>
      <w:pPr>
        <w:pStyle w:val="Heading2"/>
      </w:pPr>
      <w:r>
        <w:t xml:space="preserve">4. Drums and rotors</w:t>
      </w:r>
    </w:p>
    <w:p>
      <w:pPr>
        <w:numPr>
          <w:ilvl w:val="0"/>
          <w:numId w:val="1003"/>
        </w:numPr>
        <w:pStyle w:val="Compact"/>
      </w:pPr>
      <w:r>
        <w:t xml:space="preserve">Look for cracks, deep scoring and blue heat marks. A cracked drum or rotor is a Category 1 defect.</w:t>
      </w:r>
    </w:p>
    <w:p>
      <w:pPr>
        <w:numPr>
          <w:ilvl w:val="0"/>
          <w:numId w:val="1003"/>
        </w:numPr>
        <w:pStyle w:val="Compact"/>
      </w:pPr>
      <w:r>
        <w:t xml:space="preserve">Check for oil or grease contamination on linings. Contaminated linings are replaced and the leak source found.</w:t>
      </w:r>
    </w:p>
    <w:p>
      <w:pPr>
        <w:numPr>
          <w:ilvl w:val="0"/>
          <w:numId w:val="1003"/>
        </w:numPr>
        <w:pStyle w:val="Compact"/>
      </w:pPr>
      <w:r>
        <w:t xml:space="preserve">Lift the vehicle only following the lift and jack rules in DOC-10 before removing wheels.</w:t>
      </w:r>
    </w:p>
    <w:bookmarkEnd w:id="23"/>
    <w:bookmarkStart w:id="24" w:name="air-system-leak-down-test"/>
    <w:p>
      <w:pPr>
        <w:pStyle w:val="Heading2"/>
      </w:pPr>
      <w:r>
        <w:t xml:space="preserve">5. Air system leak-down test</w:t>
      </w:r>
    </w:p>
    <w:p>
      <w:pPr>
        <w:numPr>
          <w:ilvl w:val="0"/>
          <w:numId w:val="1004"/>
        </w:numPr>
        <w:pStyle w:val="Compact"/>
      </w:pPr>
      <w:r>
        <w:t xml:space="preserve">Build the system to full pressure, then shut off the engine and release the parking brake.</w:t>
      </w:r>
    </w:p>
    <w:p>
      <w:pPr>
        <w:numPr>
          <w:ilvl w:val="0"/>
          <w:numId w:val="1004"/>
        </w:numPr>
        <w:pStyle w:val="Compact"/>
      </w:pPr>
      <w:r>
        <w:t xml:space="preserve">Wait one minute for pressure to settle, then fully apply the service brake.</w:t>
      </w:r>
    </w:p>
    <w:p>
      <w:pPr>
        <w:numPr>
          <w:ilvl w:val="0"/>
          <w:numId w:val="1004"/>
        </w:numPr>
        <w:pStyle w:val="Compact"/>
      </w:pPr>
      <w:r>
        <w:t xml:space="preserve">Allowed pressure drop with the brake applied: no more than 2 psi per minute for a single vehicle, and no more than 3 psi per minute for a tractor and trailer combination.</w:t>
      </w:r>
    </w:p>
    <w:p>
      <w:pPr>
        <w:numPr>
          <w:ilvl w:val="0"/>
          <w:numId w:val="1004"/>
        </w:numPr>
        <w:pStyle w:val="Compact"/>
      </w:pPr>
      <w:r>
        <w:t xml:space="preserve">A leak-down result above the limit is a Category 1 defect. Do not release the vehicle.</w:t>
      </w:r>
    </w:p>
    <w:bookmarkEnd w:id="24"/>
    <w:bookmarkStart w:id="25" w:name="slack-adjusters-and-pushrod-stroke"/>
    <w:p>
      <w:pPr>
        <w:pStyle w:val="Heading2"/>
      </w:pPr>
      <w:r>
        <w:t xml:space="preserve">6. Slack adjusters and pushrod stroke</w:t>
      </w:r>
    </w:p>
    <w:p>
      <w:pPr>
        <w:numPr>
          <w:ilvl w:val="0"/>
          <w:numId w:val="1005"/>
        </w:numPr>
        <w:pStyle w:val="Compact"/>
      </w:pPr>
      <w:r>
        <w:t xml:space="preserve">Measure pushrod stroke with the brakes applied and compare to the limit marked on the brake chamber.</w:t>
      </w:r>
    </w:p>
    <w:p>
      <w:pPr>
        <w:numPr>
          <w:ilvl w:val="0"/>
          <w:numId w:val="1005"/>
        </w:numPr>
        <w:pStyle w:val="Compact"/>
      </w:pPr>
      <w:r>
        <w:t xml:space="preserve">Automatic slack adjusters should not need manual adjustment. If one is out of adjustment, treat that as a fault in the adjuster or its mounting. Do not just adjust it and move on.</w:t>
      </w:r>
    </w:p>
    <w:bookmarkEnd w:id="25"/>
    <w:bookmarkStart w:id="26" w:name="safety-critical-rule"/>
    <w:p>
      <w:pPr>
        <w:pStyle w:val="Heading2"/>
      </w:pPr>
      <w:r>
        <w:t xml:space="preserve">7. Safety-critical rule</w:t>
      </w:r>
    </w:p>
    <w:p>
      <w:pPr>
        <w:pStyle w:val="FirstParagraph"/>
      </w:pPr>
      <w:r>
        <w:t xml:space="preserve">Any brake defect found is reported under DOC-07. For a Category 1 brake defect, apply a red tag, do not move the vehicle, and confirm the repair plan and return to service with a supervisor.</w:t>
      </w:r>
    </w:p>
    <w:bookmarkEnd w:id="26"/>
    <w:bookmarkStart w:id="27" w:name="records"/>
    <w:p>
      <w:pPr>
        <w:pStyle w:val="Heading2"/>
      </w:pPr>
      <w:r>
        <w:t xml:space="preserve">8. Records</w:t>
      </w:r>
    </w:p>
    <w:p>
      <w:pPr>
        <w:pStyle w:val="FirstParagraph"/>
      </w:pPr>
      <w:r>
        <w:t xml:space="preserve">Record the date, odometer reading, measured lining thickness, leak-down result and the mechanic’s name on the brake inspection sheet. Keep the sheet in the vehicle file.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2026-10-07T16:01:13Z</dcterms:created>
  <dcterms:modified xsi:type="dcterms:W3CDTF">2026-10-07T16:01:13Z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