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oc-07-defect-reporting-procedure"/>
    <w:p>
      <w:pPr>
        <w:pStyle w:val="Heading1"/>
      </w:pPr>
      <w:r>
        <w:t xml:space="preserve">DOC-07 Defect Reporting Procedure</w:t>
      </w:r>
    </w:p>
    <w:p>
      <w:pPr>
        <w:pStyle w:val="FirstParagraph"/>
      </w:pPr>
      <w:r>
        <w:t xml:space="preserve">Document ID: DOC-07 | Version 1.0 | Owner: Fleet Maintenance | Applies to: all drivers, mechanics and supervisors</w:t>
      </w:r>
    </w:p>
    <w:p>
      <w:pPr>
        <w:pStyle w:val="BlockText"/>
      </w:pPr>
      <w:r>
        <w:t xml:space="preserve">Training document written for a portfolio project. Figures are illustrative and not official guidance.</w:t>
      </w:r>
    </w:p>
    <w:bookmarkStart w:id="20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document explains how any defect on a company vehicle is reported, categorised, repaired and closed.</w:t>
      </w:r>
    </w:p>
    <w:bookmarkEnd w:id="20"/>
    <w:bookmarkStart w:id="21" w:name="who-must-report"/>
    <w:p>
      <w:pPr>
        <w:pStyle w:val="Heading2"/>
      </w:pPr>
      <w:r>
        <w:t xml:space="preserve">2. Who must report</w:t>
      </w:r>
    </w:p>
    <w:p>
      <w:pPr>
        <w:pStyle w:val="FirstParagraph"/>
      </w:pPr>
      <w:r>
        <w:t xml:space="preserve">Everyone. If you see a defect, you report it, even if you think someone else already did. Reporting a defect never gets you in trouble. Not reporting one can.</w:t>
      </w:r>
    </w:p>
    <w:bookmarkEnd w:id="21"/>
    <w:bookmarkStart w:id="22" w:name="defect-categories-and-repair-times"/>
    <w:p>
      <w:pPr>
        <w:pStyle w:val="Heading2"/>
      </w:pPr>
      <w:r>
        <w:t xml:space="preserve">3. Defect categories and repair times</w:t>
      </w:r>
    </w:p>
    <w:p>
      <w:pPr>
        <w:numPr>
          <w:ilvl w:val="0"/>
          <w:numId w:val="1001"/>
        </w:numPr>
        <w:pStyle w:val="Compact"/>
      </w:pPr>
      <w:r>
        <w:t xml:space="preserve">Category 1, critical: the vehicle is unsafe to move. Examples: brake defects, a failed air leak-down test, steering defects, tires with exposed cord or bulges, loose or missing wheel nuts, and a running or spraying hydraulic leak. Do not move the vehicle. Repair before any further use.</w:t>
      </w:r>
    </w:p>
    <w:p>
      <w:pPr>
        <w:numPr>
          <w:ilvl w:val="0"/>
          <w:numId w:val="1001"/>
        </w:numPr>
        <w:pStyle w:val="Compact"/>
      </w:pPr>
      <w:r>
        <w:t xml:space="preserve">Category 2, major: the vehicle can run but needs repair soon. Examples: a dripping hydraulic leak, an inoperative headlight, a cracked windshield outside the driver’s view. Repair within 24 hours.</w:t>
      </w:r>
    </w:p>
    <w:p>
      <w:pPr>
        <w:numPr>
          <w:ilvl w:val="0"/>
          <w:numId w:val="1001"/>
        </w:numPr>
        <w:pStyle w:val="Compact"/>
      </w:pPr>
      <w:r>
        <w:t xml:space="preserve">Category 3, minor: no safety impact. Examples: a worn seat cover, a broken cab light. Repair within 7 days.</w:t>
      </w:r>
    </w:p>
    <w:p>
      <w:pPr>
        <w:numPr>
          <w:ilvl w:val="0"/>
          <w:numId w:val="1001"/>
        </w:numPr>
        <w:pStyle w:val="Compact"/>
      </w:pPr>
      <w:r>
        <w:t xml:space="preserve">If you are not sure which category applies, treat it as the higher one and ask your supervisor.</w:t>
      </w:r>
    </w:p>
    <w:bookmarkEnd w:id="22"/>
    <w:bookmarkStart w:id="23" w:name="how-to-report"/>
    <w:p>
      <w:pPr>
        <w:pStyle w:val="Heading2"/>
      </w:pPr>
      <w:r>
        <w:t xml:space="preserve">4. How to report</w:t>
      </w:r>
    </w:p>
    <w:p>
      <w:pPr>
        <w:numPr>
          <w:ilvl w:val="0"/>
          <w:numId w:val="1002"/>
        </w:numPr>
        <w:pStyle w:val="Compact"/>
      </w:pPr>
      <w:r>
        <w:t xml:space="preserve">Complete the defect report form in the fleet app, or the paper form if the app is not available.</w:t>
      </w:r>
    </w:p>
    <w:p>
      <w:pPr>
        <w:numPr>
          <w:ilvl w:val="0"/>
          <w:numId w:val="1002"/>
        </w:numPr>
        <w:pStyle w:val="Compact"/>
      </w:pPr>
      <w:r>
        <w:t xml:space="preserve">Give the vehicle ID, odometer reading, location, date and time, a clear description, and a photo if you can take one safely.</w:t>
      </w:r>
    </w:p>
    <w:p>
      <w:pPr>
        <w:numPr>
          <w:ilvl w:val="0"/>
          <w:numId w:val="1002"/>
        </w:numPr>
        <w:pStyle w:val="Compact"/>
      </w:pPr>
      <w:r>
        <w:t xml:space="preserve">Tell your supervisor in person or by radio for any Category 1 defect. Do not rely on the form alone.</w:t>
      </w:r>
    </w:p>
    <w:bookmarkEnd w:id="23"/>
    <w:bookmarkStart w:id="24" w:name="tagging"/>
    <w:p>
      <w:pPr>
        <w:pStyle w:val="Heading2"/>
      </w:pPr>
      <w:r>
        <w:t xml:space="preserve">5. Tagging</w:t>
      </w:r>
    </w:p>
    <w:p>
      <w:pPr>
        <w:pStyle w:val="FirstParagraph"/>
      </w:pPr>
      <w:r>
        <w:t xml:space="preserve">Put a red tag on the steering wheel or key for every Category 1 defect. Only a supervisor or lead mechanic may remove a red tag.</w:t>
      </w:r>
    </w:p>
    <w:bookmarkEnd w:id="24"/>
    <w:bookmarkStart w:id="25" w:name="repair-sign-off-and-return-to-service"/>
    <w:p>
      <w:pPr>
        <w:pStyle w:val="Heading2"/>
      </w:pPr>
      <w:r>
        <w:t xml:space="preserve">6. Repair, sign-off and return to service</w:t>
      </w:r>
    </w:p>
    <w:p>
      <w:pPr>
        <w:numPr>
          <w:ilvl w:val="0"/>
          <w:numId w:val="1003"/>
        </w:numPr>
        <w:pStyle w:val="Compact"/>
      </w:pPr>
      <w:r>
        <w:t xml:space="preserve">The mechanic records the repair and parts used on the defect form.</w:t>
      </w:r>
    </w:p>
    <w:p>
      <w:pPr>
        <w:numPr>
          <w:ilvl w:val="0"/>
          <w:numId w:val="1003"/>
        </w:numPr>
        <w:pStyle w:val="Compact"/>
      </w:pPr>
      <w:r>
        <w:t xml:space="preserve">A supervisor signs off before a vehicle with a Category 1 defect returns to service.</w:t>
      </w:r>
    </w:p>
    <w:p>
      <w:pPr>
        <w:numPr>
          <w:ilvl w:val="0"/>
          <w:numId w:val="1003"/>
        </w:numPr>
        <w:pStyle w:val="Compact"/>
      </w:pPr>
      <w:r>
        <w:t xml:space="preserve">The driver who reported the defect is told when it is closed.</w:t>
      </w:r>
    </w:p>
    <w:bookmarkEnd w:id="25"/>
    <w:bookmarkStart w:id="26" w:name="records"/>
    <w:p>
      <w:pPr>
        <w:pStyle w:val="Heading2"/>
      </w:pPr>
      <w:r>
        <w:t xml:space="preserve">7. Records</w:t>
      </w:r>
    </w:p>
    <w:p>
      <w:pPr>
        <w:pStyle w:val="FirstParagraph"/>
      </w:pPr>
      <w:r>
        <w:t xml:space="preserve">Defect forms are kept for 24 months in the vehicle file.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2026-10-07T16:01:13Z</dcterms:created>
  <dcterms:modified xsi:type="dcterms:W3CDTF">2026-10-07T16:01:13Z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