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oc-10-lift-jack-and-lockout-safety"/>
    <w:p>
      <w:pPr>
        <w:pStyle w:val="Heading1"/>
      </w:pPr>
      <w:r>
        <w:t xml:space="preserve">DOC-10 Lift, Jack and Lockout Safety</w:t>
      </w:r>
    </w:p>
    <w:p>
      <w:pPr>
        <w:pStyle w:val="FirstParagraph"/>
      </w:pPr>
      <w:r>
        <w:t xml:space="preserve">Document ID: DOC-10 | Version 1.0 | Owner: Fleet Maintenance and Health and Safety | Applies to: all work under or around raised vehicles</w:t>
      </w:r>
    </w:p>
    <w:p>
      <w:pPr>
        <w:pStyle w:val="BlockText"/>
      </w:pPr>
      <w:r>
        <w:t xml:space="preserve">Training document written for a portfolio project. Figures are illustrative and not official guidance.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covers safe lifting of vehicles and lockout before working on stored-energy systems. Working under a vehicle is one of the most dangerous jobs in the garage.</w:t>
      </w:r>
    </w:p>
    <w:bookmarkEnd w:id="20"/>
    <w:bookmarkStart w:id="21" w:name="never-rely-on-a-jack-alone"/>
    <w:p>
      <w:pPr>
        <w:pStyle w:val="Heading2"/>
      </w:pPr>
      <w:r>
        <w:t xml:space="preserve">2. Never rely on a jack alone</w:t>
      </w:r>
    </w:p>
    <w:p>
      <w:pPr>
        <w:numPr>
          <w:ilvl w:val="0"/>
          <w:numId w:val="1001"/>
        </w:numPr>
        <w:pStyle w:val="Compact"/>
      </w:pPr>
      <w:r>
        <w:t xml:space="preserve">Never get under a vehicle that is held up by a jack only. Jacks are for lifting, not for holding.</w:t>
      </w:r>
    </w:p>
    <w:p>
      <w:pPr>
        <w:numPr>
          <w:ilvl w:val="0"/>
          <w:numId w:val="1001"/>
        </w:numPr>
        <w:pStyle w:val="Compact"/>
      </w:pPr>
      <w:r>
        <w:t xml:space="preserve">Support the vehicle on rated jack stands or use a vehicle hoist with its mechanical locks engaged.</w:t>
      </w:r>
    </w:p>
    <w:p>
      <w:pPr>
        <w:numPr>
          <w:ilvl w:val="0"/>
          <w:numId w:val="1001"/>
        </w:numPr>
        <w:pStyle w:val="Compact"/>
      </w:pPr>
      <w:r>
        <w:t xml:space="preserve">Check the rating of the stand against the vehicle’s weight, including any load.</w:t>
      </w:r>
    </w:p>
    <w:bookmarkEnd w:id="21"/>
    <w:bookmarkStart w:id="22" w:name="setting-up"/>
    <w:p>
      <w:pPr>
        <w:pStyle w:val="Heading2"/>
      </w:pPr>
      <w:r>
        <w:t xml:space="preserve">3. Setting up</w:t>
      </w:r>
    </w:p>
    <w:p>
      <w:pPr>
        <w:numPr>
          <w:ilvl w:val="0"/>
          <w:numId w:val="1002"/>
        </w:numPr>
        <w:pStyle w:val="Compact"/>
      </w:pPr>
      <w:r>
        <w:t xml:space="preserve">Work on firm, level ground, such as a concrete floor. Never lift on soft ground, gravel or ice.</w:t>
      </w:r>
    </w:p>
    <w:p>
      <w:pPr>
        <w:numPr>
          <w:ilvl w:val="0"/>
          <w:numId w:val="1002"/>
        </w:numPr>
        <w:pStyle w:val="Compact"/>
      </w:pPr>
      <w:r>
        <w:t xml:space="preserve">Set the parking brake, put the transmission in park or neutral as appropriate, and chock the wheels that stay on the ground.</w:t>
      </w:r>
    </w:p>
    <w:p>
      <w:pPr>
        <w:numPr>
          <w:ilvl w:val="0"/>
          <w:numId w:val="1002"/>
        </w:numPr>
        <w:pStyle w:val="Compact"/>
      </w:pPr>
      <w:r>
        <w:t xml:space="preserve">Use only the maker’s lifting points shown in the vehicle manual.</w:t>
      </w:r>
    </w:p>
    <w:p>
      <w:pPr>
        <w:numPr>
          <w:ilvl w:val="0"/>
          <w:numId w:val="1002"/>
        </w:numPr>
        <w:pStyle w:val="Compact"/>
      </w:pPr>
      <w:r>
        <w:t xml:space="preserve">Keep other people clear while lifting and lowering.</w:t>
      </w:r>
    </w:p>
    <w:bookmarkEnd w:id="22"/>
    <w:bookmarkStart w:id="23" w:name="hoists-and-lifts"/>
    <w:p>
      <w:pPr>
        <w:pStyle w:val="Heading2"/>
      </w:pPr>
      <w:r>
        <w:t xml:space="preserve">4. Hoists and lifts</w:t>
      </w:r>
    </w:p>
    <w:p>
      <w:pPr>
        <w:numPr>
          <w:ilvl w:val="0"/>
          <w:numId w:val="1003"/>
        </w:numPr>
        <w:pStyle w:val="Compact"/>
      </w:pPr>
      <w:r>
        <w:t xml:space="preserve">Inspect the hoist before each shift for damage and leaks.</w:t>
      </w:r>
    </w:p>
    <w:p>
      <w:pPr>
        <w:numPr>
          <w:ilvl w:val="0"/>
          <w:numId w:val="1003"/>
        </w:numPr>
        <w:pStyle w:val="Compact"/>
      </w:pPr>
      <w:r>
        <w:t xml:space="preserve">Never exceed the rated capacity. Do not use a hoist with a damaged lock or a leaking cylinder. Tag it out.</w:t>
      </w:r>
    </w:p>
    <w:bookmarkEnd w:id="23"/>
    <w:bookmarkStart w:id="24" w:name="lockout-and-tagout"/>
    <w:p>
      <w:pPr>
        <w:pStyle w:val="Heading2"/>
      </w:pPr>
      <w:r>
        <w:t xml:space="preserve">5. Lockout and tagout</w:t>
      </w:r>
    </w:p>
    <w:p>
      <w:pPr>
        <w:pStyle w:val="FirstParagraph"/>
      </w:pPr>
      <w:r>
        <w:t xml:space="preserve">Before working on a system that can store energy (air brakes, hydraulics, battery circuits, suspension), lock out and tag out:</w:t>
      </w:r>
    </w:p>
    <w:p>
      <w:pPr>
        <w:numPr>
          <w:ilvl w:val="0"/>
          <w:numId w:val="1004"/>
        </w:numPr>
        <w:pStyle w:val="Compact"/>
      </w:pPr>
      <w:r>
        <w:t xml:space="preserve">Shut off the engine and remove the key. Keep the key with you.</w:t>
      </w:r>
    </w:p>
    <w:p>
      <w:pPr>
        <w:numPr>
          <w:ilvl w:val="0"/>
          <w:numId w:val="1004"/>
        </w:numPr>
        <w:pStyle w:val="Compact"/>
      </w:pPr>
      <w:r>
        <w:t xml:space="preserve">Disconnect the battery negative cable if you will work on electrical circuits.</w:t>
      </w:r>
    </w:p>
    <w:p>
      <w:pPr>
        <w:numPr>
          <w:ilvl w:val="0"/>
          <w:numId w:val="1004"/>
        </w:numPr>
        <w:pStyle w:val="Compact"/>
      </w:pPr>
      <w:r>
        <w:t xml:space="preserve">Bleed off stored air or hydraulic pressure and secure any raised parts (see DOC-05).</w:t>
      </w:r>
    </w:p>
    <w:p>
      <w:pPr>
        <w:numPr>
          <w:ilvl w:val="0"/>
          <w:numId w:val="1004"/>
        </w:numPr>
        <w:pStyle w:val="Compact"/>
      </w:pPr>
      <w:r>
        <w:t xml:space="preserve">Attach your personal lock and tag. Only the person who put on a lock may remove it.</w:t>
      </w:r>
    </w:p>
    <w:bookmarkEnd w:id="24"/>
    <w:bookmarkStart w:id="25" w:name="wheel-removal"/>
    <w:p>
      <w:pPr>
        <w:pStyle w:val="Heading2"/>
      </w:pPr>
      <w:r>
        <w:t xml:space="preserve">6. Wheel removal</w:t>
      </w:r>
    </w:p>
    <w:p>
      <w:pPr>
        <w:pStyle w:val="FirstParagraph"/>
      </w:pPr>
      <w:r>
        <w:t xml:space="preserve">Before wheel removal, the vehicle must be properly supported under sections 2 and 3. Break loose wheel nuts while the wheel is still on the ground.</w:t>
      </w:r>
    </w:p>
    <w:bookmarkEnd w:id="25"/>
    <w:bookmarkStart w:id="26" w:name="supervisor-confirmation"/>
    <w:p>
      <w:pPr>
        <w:pStyle w:val="Heading2"/>
      </w:pPr>
      <w:r>
        <w:t xml:space="preserve">7. Supervisor confirmation</w:t>
      </w:r>
    </w:p>
    <w:p>
      <w:pPr>
        <w:pStyle w:val="FirstParagraph"/>
      </w:pPr>
      <w:r>
        <w:t xml:space="preserve">For any job where you are not sure the vehicle is secure, stop and confirm with a supervisor before going under it. This is a safety-critical rule.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2026-10-07T16:01:13Z</dcterms:created>
  <dcterms:modified xsi:type="dcterms:W3CDTF">2026-10-07T16:01:13Z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