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ГЕНЫ УСТОЙЧИВОСТИ К ФТОРИДУ НА ПЛАЗМИДАХ И КОНЪЮГАТИВНЫХ ЭЛЕМЕНТАХ В МЕТАГЕНОМЕ ИСТОЧНИКА ХОЙТО-ГОЛ</w:t>
      </w:r>
      <w:r/>
    </w:p>
    <w:p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ru-RU"/>
        </w:rPr>
        <w:t xml:space="preserve">Гильманова Алина Руслановна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, Золотиков Устин Евгеньевич, Тощаков Степан Владимирович</w:t>
      </w:r>
      <w:r/>
    </w:p>
    <w:p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val="ru-RU"/>
        </w:rPr>
        <w:t xml:space="preserve">Национальный исследовательский центр «Курчатовский институт», Москва, gilmanovaalina8@gmail.com</w:t>
      </w:r>
      <w:r/>
    </w:p>
    <w:p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Вода минерального источника Хойто-Гол (Восточный Саян, Бурятия) содержит до 5 мг/л фторида [1] — в несколько раз выше норматива для питьевой воды. Прокариоты выводят фторид экспортёрами Fluc/CrcB и CLCᶠ под контролем фторидного рибопереключателя [2]. Гены устойчивости к антибиотикам и металлам нередко переносятся мобильными генетическими элементами (МГЭ) [3], а для фторида такая связь не изучена. Цель работы — выяснить, связаны ли эти гены с транспозазами и плазмидами.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Чтобы отделить сигнал от артефактов сборки, анализ вели на трёх сборках метагенома: из коротких прочтений Illumina, гибридной (Illumina и Nanopore, обе metaSPAdes) и из длинных прочтений (metaFlye). Локусом считали рибопереключатель и ген экспортёра на одной цепи не далее 200 п. н. друг от друга. Транспозазы и рекомбиназы искали по профилям Pfam, плазмиды — geNomad [4]. Ожидаемые числа рассчитывали по той же сборке с учётом длины контигов (биномиальный и пуассон-биномиальный критерии).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Гибридная сборка содержит все 10 локусов на 9 контигах, сборка из коротких прочтений — 9, из длинных — 7. Транспозаз рядом с экспортёрами не больше, чем ожидается случайно: в окнах ±10 генов их 1, 3 и 5 при ожидаемых 3,9, 6,2 и 6,6 (p ≥ 0,79). Контиги с локусами в гибридной сборке по медиане более чем втрое длиннее, но новых транспозаз рядом с ними нет: фрагментацией результат не объясняется.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Плазмидными оказались 3 из 9 контигов с локусами в сборке из коротких прочтений и 4 из 9 в гибридной при ожидаемых 0,13 и 0,34 (p = 1,5·10⁻⁴ и 1,6·10⁻⁴), в сборке из длинных прочтений — 1 из 6 (p = 0,13). Три элемента подтверждены маркерными генами: плазмида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/>
        </w:rPr>
        <w:t xml:space="preserve">Pannonibacter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генами Rep и MobA/MobL, конъюгативный элемент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/>
        </w:rPr>
        <w:t xml:space="preserve">Hydrogenophaga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генами секреции IV типа и контиг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/>
        </w:rPr>
        <w:t xml:space="preserve">Ideonella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генами репликации плазмидного типа.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Таким образом, связь локусов устойчивости к фториду с транспозазами не выявлена, тогда как на плазмидах и конъюгативных элементах они расположены значимо чаще ожидаемого, что позволяет предположить их горизонтальный перенос в составе таких элементов. Такие плазмиды интересны биотехнологии: внесение гена CLCᶠ на плазмиде повышает устойчивость бактерий к фториду и их способность разлагать фторорганические соединения [5] — основу биоремедиации стоков.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выполнена при поддержке тематического плана НИЦ «Курчатовский институт».</w:t>
      </w:r>
      <w:r/>
    </w:p>
    <w:p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276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Литература</w:t>
      </w:r>
      <w:r/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Alexeev S.V., Alexeeva L.P., Svetlakov A.A. et al.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Geochemistry of groundwaters and surface waters, and ground ice of the Oka Plateau (Eastern Sayan, Russia) // Russian Geology and Geophysics. 2025. Vol. 66. P. 29–49.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Baker J.L., Sudarsan N., Weinberg Z. et al.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Widespread genetic switches and toxicity resistance proteins for fluoride // Science. 2012. Vol. 335. P. 233–235.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Partridge S.R., Kwong S.M., Firth N., Jensen S.O.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Mobile genetic elements associated with antimicrobial resistance // Clinical Microbiology Reviews. 2018. Vol. 31. Art. e00088-17.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Camargo A.P., Roux S., Schulz F. et al.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Identification of mobile genetic elements with geNomad // Nature Biotechnology. 2024. Vol. 42. P. 1303–1312.</w:t>
      </w:r>
    </w:p>
    <w:p>
      <w:pPr>
        <w:pBdr/>
        <w:spacing w:line="276" w:lineRule="auto"/>
        <w:ind w:firstLine="566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5.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Dodge A.G., O'Connor M.R., Wackett L.P.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CLCF, not CrcB, protects Pseudomonas putida ATCC 12633 during intense fluoride stress // Environmental Microbiology. 2026. Vol. 28. Art. e70385.</w:t>
      </w:r>
    </w:p>
    <w:sectPr>
      <w:footnotePr/>
      <w:endnotePr/>
      <w:type w:val="nextPage"/>
      <w:pgSz w:h="16837" w:orient="portrait" w:w="11905"/>
      <w:pgMar w:top="1133" w:right="1417" w:bottom="1133" w:left="1417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6"/>
    <w:next w:val="7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6"/>
    <w:next w:val="7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6"/>
    <w:next w:val="7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6"/>
    <w:next w:val="7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</w:style>
  <w:style w:type="paragraph" w:styleId="707">
    <w:name w:val="Title"/>
    <w:basedOn w:val="706"/>
    <w:next w:val="706"/>
    <w:qFormat/>
    <w:pPr>
      <w:pBdr/>
      <w:spacing/>
      <w:ind/>
    </w:pPr>
    <w:rPr>
      <w:sz w:val="56"/>
      <w:szCs w:val="56"/>
    </w:rPr>
  </w:style>
  <w:style w:type="paragraph" w:styleId="708">
    <w:name w:val="Heading 1"/>
    <w:basedOn w:val="706"/>
    <w:next w:val="706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basedOn w:val="706"/>
    <w:next w:val="706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basedOn w:val="706"/>
    <w:next w:val="706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basedOn w:val="706"/>
    <w:next w:val="706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basedOn w:val="706"/>
    <w:next w:val="706"/>
    <w:qFormat/>
    <w:pPr>
      <w:pBdr/>
      <w:spacing/>
      <w:ind/>
    </w:pPr>
    <w:rPr>
      <w:color w:val="2e74b5"/>
    </w:rPr>
  </w:style>
  <w:style w:type="paragraph" w:styleId="713">
    <w:name w:val="Heading 6"/>
    <w:basedOn w:val="706"/>
    <w:next w:val="706"/>
    <w:qFormat/>
    <w:pPr>
      <w:pBdr/>
      <w:spacing/>
      <w:ind/>
    </w:pPr>
    <w:rPr>
      <w:color w:val="1f4d78"/>
    </w:rPr>
  </w:style>
  <w:style w:type="paragraph" w:styleId="714">
    <w:name w:val="Strong"/>
    <w:basedOn w:val="706"/>
    <w:next w:val="706"/>
    <w:qFormat/>
    <w:pPr>
      <w:pBdr/>
      <w:spacing/>
      <w:ind/>
    </w:pPr>
    <w:rPr>
      <w:b/>
      <w:bCs/>
    </w:rPr>
  </w:style>
  <w:style w:type="paragraph" w:styleId="715">
    <w:name w:val="List Paragraph"/>
    <w:basedOn w:val="706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basedOn w:val="706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basedOn w:val="706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2026-09-30T15:18:47Z</dcterms:created>
  <dcterms:modified xsi:type="dcterms:W3CDTF">2026-10-01T11:22:16Z</dcterms:modified>
</cp:coreProperties>
</file>