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ГЕНЫ УСТОЙЧИВОСТИ К ФТОРИДУ НА ПЛАЗМИДАХ И КОНЪЮГАТИВНЫХ ЭЛЕМЕНТАХ В МЕТАГЕНОМЕ ИСТОЧНИКА ХОЙТО-ГОЛ</w:t>
      </w:r>
      <w:r/>
    </w:p>
    <w:p>
      <w:pPr>
        <w:pBdr/>
        <w:spacing w:line="276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u w:val="single"/>
          <w:lang w:val="ru-RU"/>
        </w:rPr>
        <w:t xml:space="preserve">Гильманова Алина Руслановна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, Золотиков Устин Евгеньевич, Тощаков Степан Владимирович</w:t>
      </w:r>
      <w:r/>
    </w:p>
    <w:p>
      <w:pPr>
        <w:pBdr/>
        <w:spacing w:line="276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i/>
          <w:iCs/>
          <w:sz w:val="24"/>
          <w:szCs w:val="24"/>
          <w:lang w:val="ru-RU"/>
        </w:rPr>
        <w:t xml:space="preserve">Национальный исследовательский центр «Курчатовский институт», Москва, gilmanovaalina8@gmail.com</w:t>
      </w:r>
      <w:r/>
    </w:p>
    <w:p>
      <w:pPr>
        <w:pBdr/>
        <w:spacing w:line="276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line="276" w:lineRule="auto"/>
        <w:ind w:firstLine="566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Концентрация фторида в воде минерального источника Хойто-Гол (Восточный Саян, Бурятия) составляет 3,4–3,5 мг/л. Прокариоты выводят фторид экспортёрами Fluc/CrcB и CLCᶠ, экспрессия которых часто регулируется фторидным рибопереключателем [1, 2]. Ген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ы устойчивости к антибиотикам и металлам нередко переносятся мобильными генетическими элементами (МГЭ), но для генов устойчивости к фториду такая связь систематически не оценивалась. Цель работы — выяснить, связаны ли эти гены с транспозазами и плазмидами.</w:t>
      </w:r>
      <w:r/>
    </w:p>
    <w:p>
      <w:pPr>
        <w:pBdr/>
        <w:spacing w:line="276" w:lineRule="auto"/>
        <w:ind w:firstLine="566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Сравнивали три сборки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метагенома воды: из коротких прочтений Illumina и гибридную из прочтений Illumina и Nanopore (обе metaSPAdes [3]), а также из длинных прочтений (metaFlye [4]). Локусом считали рибопереключатель и ген экспортёра на одной цепи не далее 200 п. н. друг от друг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а. Транспозазы и родственные рекомбиназы искали по профилям Pfam, плазмиды — программой geNomad [5]. Ожидаемые числа транспозаз и плазмид рассчитывали по генам и контигам той же сборки с учётом длины контигов (биномиальный и пуассон-биномиальный критерии).</w:t>
      </w:r>
      <w:r/>
    </w:p>
    <w:p>
      <w:pPr>
        <w:pBdr/>
        <w:spacing w:line="276" w:lineRule="auto"/>
        <w:ind w:firstLine="566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Гибридная сборка содержит все 10 выявленных локусов на 9 контигах, короткая — 9 локусов, длинная — 7. Транспозаз рядом с экспортёрами не больше, чем ожидается случайно: в окнах ±10 генов их 1, 3 и 5 при ожидаемых 3,9, 6,2 и 6,6 (короткая, гибри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дная и длинная сборки; p ≥ 0,79). Контиги с локусами в гибридной сборке по медиане более чем втрое длиннее, чем в короткой, но новых транспозаз рядом с локусами нет. Поэтому отрицательный результат вряд ли объясняется обрывом коротких контигов на повторах.</w:t>
      </w:r>
      <w:r/>
    </w:p>
    <w:p>
      <w:pPr>
        <w:pBdr/>
        <w:spacing w:line="276" w:lineRule="auto"/>
        <w:ind w:firstLine="566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Среди контигов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с локусами плазмидными оказались 3 из 9 в короткой сборке и 4 из 9 в гибридной при ожидаемых 0,13 и 0,34 (p = 1,5·10⁻⁴ и 1,6·10⁻⁴), в длинной — 1 из 6 (p = 0,13). Три элемента общие для короткой и гибридной сборок и подтверждены маркерными генами: плазмида </w:t>
      </w:r>
      <w:r>
        <w:rPr>
          <w:rFonts w:ascii="Times New Roman" w:hAnsi="Times New Roman" w:eastAsia="Times New Roman" w:cs="Times New Roman"/>
          <w:i/>
          <w:iCs/>
          <w:sz w:val="28"/>
          <w:szCs w:val="28"/>
          <w:lang w:val="ru-RU"/>
        </w:rPr>
        <w:t xml:space="preserve">Pannonibacter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с генами Rep и MobA/MobL, конъюгативный элемент </w:t>
      </w:r>
      <w:r>
        <w:rPr>
          <w:rFonts w:ascii="Times New Roman" w:hAnsi="Times New Roman" w:eastAsia="Times New Roman" w:cs="Times New Roman"/>
          <w:i/>
          <w:iCs/>
          <w:sz w:val="28"/>
          <w:szCs w:val="28"/>
          <w:lang w:val="ru-RU"/>
        </w:rPr>
        <w:t xml:space="preserve">Hydrogenophaga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с генами системы секреции IV типа и контиг </w:t>
      </w:r>
      <w:r>
        <w:rPr>
          <w:rFonts w:ascii="Times New Roman" w:hAnsi="Times New Roman" w:eastAsia="Times New Roman" w:cs="Times New Roman"/>
          <w:i/>
          <w:iCs/>
          <w:sz w:val="28"/>
          <w:szCs w:val="28"/>
          <w:lang w:val="ru-RU"/>
        </w:rPr>
        <w:t xml:space="preserve">Ideonella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длиной 457 тыс. п. н. с генами репликации плазмидного типа.</w:t>
      </w:r>
      <w:r/>
    </w:p>
    <w:p>
      <w:pPr>
        <w:pBdr/>
        <w:spacing w:line="276" w:lineRule="auto"/>
        <w:ind w:firstLine="566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Таким образом, связь локусов устойчивости к фториду с транспозазами не выявлена, тогда как на плазмидах и конъюгативных элементах они расположены значимо чаще ожидаемого.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Это позволяет предположить горизонтальный перенос генов устойчивости к фториду в составе плазмид и конъюгативных элементов.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/>
    </w:p>
    <w:p>
      <w:pPr>
        <w:pBdr/>
        <w:spacing w:line="276" w:lineRule="auto"/>
        <w:ind w:firstLine="566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Работа выполнена при поддержке тематического плана НИЦ «Курчатовский институт».</w:t>
      </w:r>
      <w:r/>
    </w:p>
    <w:p>
      <w:pPr>
        <w:pBdr/>
        <w:spacing w:line="276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line="276" w:lineRule="auto"/>
        <w:ind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Литература</w:t>
      </w:r>
      <w:r/>
    </w:p>
    <w:p>
      <w:pPr>
        <w:pBdr/>
        <w:spacing w:line="276" w:lineRule="auto"/>
        <w:ind w:firstLine="566"/>
        <w:jc w:val="both"/>
        <w:rPr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1. 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lang w:val="en-US"/>
        </w:rPr>
        <w:t xml:space="preserve">Baker J.L., Sudarsan N., Weinberg Z. et al. </w:t>
      </w:r>
      <w:r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Widespread genetic switches and toxicity resistance proteins for fluoride // Science. 2012. Vol. 335. P. 233–235.</w:t>
      </w:r>
      <w:r/>
    </w:p>
    <w:p>
      <w:pPr>
        <w:pBdr/>
        <w:spacing w:line="276" w:lineRule="auto"/>
        <w:ind w:firstLine="566"/>
        <w:jc w:val="both"/>
        <w:rPr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2. 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lang w:val="en-US"/>
        </w:rPr>
        <w:t xml:space="preserve">Stockbridge R.B., Lim H.-H., Otten R. et al. </w:t>
      </w:r>
      <w:r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Fluoride resistance and transport by riboswitch-controlled CLC antiporters // PNAS. 2012. Vol. 109. P. 15289–15294.</w:t>
      </w:r>
      <w:r/>
    </w:p>
    <w:p>
      <w:pPr>
        <w:pBdr/>
        <w:spacing w:line="276" w:lineRule="auto"/>
        <w:ind w:firstLine="566"/>
        <w:jc w:val="both"/>
        <w:rPr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3. 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lang w:val="en-US"/>
        </w:rPr>
        <w:t xml:space="preserve">Nurk S., Meleshko D., Korobeynikov A., Pevzner P.A. </w:t>
      </w:r>
      <w:r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metaSPAdes: a new versatile metagenomic assembler // Genome Research. 2017. Vol. 27. P. 824–834.</w:t>
      </w:r>
      <w:r/>
    </w:p>
    <w:p>
      <w:pPr>
        <w:pBdr/>
        <w:spacing w:line="276" w:lineRule="auto"/>
        <w:ind w:firstLine="566"/>
        <w:jc w:val="both"/>
        <w:rPr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4. 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lang w:val="en-US"/>
        </w:rPr>
        <w:t xml:space="preserve">Kolmogorov M., Bickhart D.M., Behsaz B. et al. </w:t>
      </w:r>
      <w:r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metaFlye: scalable long-read metagenome assembly using repeat graphs // Nature Methods. 2020. Vol. 17. P. 1103–1110.</w:t>
      </w:r>
      <w:r/>
    </w:p>
    <w:p>
      <w:pPr>
        <w:pBdr/>
        <w:spacing w:line="276" w:lineRule="auto"/>
        <w:ind w:firstLine="566"/>
        <w:jc w:val="both"/>
        <w:rPr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5. 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lang w:val="en-US"/>
        </w:rPr>
        <w:t xml:space="preserve">Camargo A.P., Roux S., Schulz F. et al. </w:t>
      </w:r>
      <w:r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Identification of mobile genetic elements with geNomad // Nature Biotechnology. 2024. Vol. 42. P. 1303–1312.</w:t>
      </w:r>
      <w:r/>
    </w:p>
    <w:sectPr>
      <w:footnotePr/>
      <w:endnotePr/>
      <w:type w:val="nextPage"/>
      <w:pgSz w:h="16837" w:orient="portrait" w:w="11905"/>
      <w:pgMar w:top="1133" w:right="1417" w:bottom="1133" w:left="1417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doNotHyphenateCaps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8"/>
        <w:szCs w:val="28"/>
        <w:lang w:val="ru-RU" w:eastAsia="zh-C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706"/>
    <w:next w:val="706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06"/>
    <w:next w:val="706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06"/>
    <w:next w:val="706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70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70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71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71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71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1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0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706"/>
    <w:next w:val="706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06"/>
    <w:next w:val="706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06"/>
    <w:next w:val="706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06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706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706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706"/>
    <w:next w:val="70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06"/>
    <w:next w:val="706"/>
    <w:uiPriority w:val="39"/>
    <w:unhideWhenUsed/>
    <w:pPr>
      <w:pBdr/>
      <w:spacing w:after="100"/>
      <w:ind/>
    </w:pPr>
  </w:style>
  <w:style w:type="paragraph" w:styleId="190">
    <w:name w:val="toc 2"/>
    <w:basedOn w:val="706"/>
    <w:next w:val="706"/>
    <w:uiPriority w:val="39"/>
    <w:unhideWhenUsed/>
    <w:pPr>
      <w:pBdr/>
      <w:spacing w:after="100"/>
      <w:ind w:left="220"/>
    </w:pPr>
  </w:style>
  <w:style w:type="paragraph" w:styleId="191">
    <w:name w:val="toc 3"/>
    <w:basedOn w:val="706"/>
    <w:next w:val="706"/>
    <w:uiPriority w:val="39"/>
    <w:unhideWhenUsed/>
    <w:pPr>
      <w:pBdr/>
      <w:spacing w:after="100"/>
      <w:ind w:left="440"/>
    </w:pPr>
  </w:style>
  <w:style w:type="paragraph" w:styleId="192">
    <w:name w:val="toc 4"/>
    <w:basedOn w:val="706"/>
    <w:next w:val="706"/>
    <w:uiPriority w:val="39"/>
    <w:unhideWhenUsed/>
    <w:pPr>
      <w:pBdr/>
      <w:spacing w:after="100"/>
      <w:ind w:left="660"/>
    </w:pPr>
  </w:style>
  <w:style w:type="paragraph" w:styleId="193">
    <w:name w:val="toc 5"/>
    <w:basedOn w:val="706"/>
    <w:next w:val="706"/>
    <w:uiPriority w:val="39"/>
    <w:unhideWhenUsed/>
    <w:pPr>
      <w:pBdr/>
      <w:spacing w:after="100"/>
      <w:ind w:left="880"/>
    </w:pPr>
  </w:style>
  <w:style w:type="paragraph" w:styleId="194">
    <w:name w:val="toc 6"/>
    <w:basedOn w:val="706"/>
    <w:next w:val="706"/>
    <w:uiPriority w:val="39"/>
    <w:unhideWhenUsed/>
    <w:pPr>
      <w:pBdr/>
      <w:spacing w:after="100"/>
      <w:ind w:left="1100"/>
    </w:pPr>
  </w:style>
  <w:style w:type="paragraph" w:styleId="195">
    <w:name w:val="toc 7"/>
    <w:basedOn w:val="706"/>
    <w:next w:val="706"/>
    <w:uiPriority w:val="39"/>
    <w:unhideWhenUsed/>
    <w:pPr>
      <w:pBdr/>
      <w:spacing w:after="100"/>
      <w:ind w:left="1320"/>
    </w:pPr>
  </w:style>
  <w:style w:type="paragraph" w:styleId="196">
    <w:name w:val="toc 8"/>
    <w:basedOn w:val="706"/>
    <w:next w:val="706"/>
    <w:uiPriority w:val="39"/>
    <w:unhideWhenUsed/>
    <w:pPr>
      <w:pBdr/>
      <w:spacing w:after="100"/>
      <w:ind w:left="1540"/>
    </w:pPr>
  </w:style>
  <w:style w:type="paragraph" w:styleId="197">
    <w:name w:val="toc 9"/>
    <w:basedOn w:val="706"/>
    <w:next w:val="706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06"/>
    <w:next w:val="706"/>
    <w:uiPriority w:val="99"/>
    <w:unhideWhenUsed/>
    <w:pPr>
      <w:pBdr/>
      <w:spacing w:after="0" w:afterAutospacing="0"/>
      <w:ind/>
    </w:pPr>
  </w:style>
  <w:style w:type="paragraph" w:styleId="706" w:default="1">
    <w:name w:val="Normal"/>
    <w:qFormat/>
    <w:pPr>
      <w:pBdr/>
      <w:spacing/>
      <w:ind/>
    </w:pPr>
  </w:style>
  <w:style w:type="paragraph" w:styleId="707">
    <w:name w:val="Title"/>
    <w:basedOn w:val="706"/>
    <w:next w:val="706"/>
    <w:qFormat/>
    <w:pPr>
      <w:pBdr/>
      <w:spacing/>
      <w:ind/>
    </w:pPr>
    <w:rPr>
      <w:sz w:val="56"/>
      <w:szCs w:val="56"/>
    </w:rPr>
  </w:style>
  <w:style w:type="paragraph" w:styleId="708">
    <w:name w:val="Heading 1"/>
    <w:basedOn w:val="706"/>
    <w:next w:val="706"/>
    <w:qFormat/>
    <w:pPr>
      <w:pBdr/>
      <w:spacing/>
      <w:ind/>
    </w:pPr>
    <w:rPr>
      <w:color w:val="2e74b5"/>
      <w:sz w:val="32"/>
      <w:szCs w:val="32"/>
    </w:rPr>
  </w:style>
  <w:style w:type="paragraph" w:styleId="709">
    <w:name w:val="Heading 2"/>
    <w:basedOn w:val="706"/>
    <w:next w:val="706"/>
    <w:qFormat/>
    <w:pPr>
      <w:pBdr/>
      <w:spacing/>
      <w:ind/>
    </w:pPr>
    <w:rPr>
      <w:color w:val="2e74b5"/>
      <w:sz w:val="26"/>
      <w:szCs w:val="26"/>
    </w:rPr>
  </w:style>
  <w:style w:type="paragraph" w:styleId="710">
    <w:name w:val="Heading 3"/>
    <w:basedOn w:val="706"/>
    <w:next w:val="706"/>
    <w:qFormat/>
    <w:pPr>
      <w:pBdr/>
      <w:spacing/>
      <w:ind/>
    </w:pPr>
    <w:rPr>
      <w:color w:val="1f4d78"/>
      <w:sz w:val="24"/>
      <w:szCs w:val="24"/>
    </w:rPr>
  </w:style>
  <w:style w:type="paragraph" w:styleId="711">
    <w:name w:val="Heading 4"/>
    <w:basedOn w:val="706"/>
    <w:next w:val="706"/>
    <w:qFormat/>
    <w:pPr>
      <w:pBdr/>
      <w:spacing/>
      <w:ind/>
    </w:pPr>
    <w:rPr>
      <w:i/>
      <w:iCs/>
      <w:color w:val="2e74b5"/>
    </w:rPr>
  </w:style>
  <w:style w:type="paragraph" w:styleId="712">
    <w:name w:val="Heading 5"/>
    <w:basedOn w:val="706"/>
    <w:next w:val="706"/>
    <w:qFormat/>
    <w:pPr>
      <w:pBdr/>
      <w:spacing/>
      <w:ind/>
    </w:pPr>
    <w:rPr>
      <w:color w:val="2e74b5"/>
    </w:rPr>
  </w:style>
  <w:style w:type="paragraph" w:styleId="713">
    <w:name w:val="Heading 6"/>
    <w:basedOn w:val="706"/>
    <w:next w:val="706"/>
    <w:qFormat/>
    <w:pPr>
      <w:pBdr/>
      <w:spacing/>
      <w:ind/>
    </w:pPr>
    <w:rPr>
      <w:color w:val="1f4d78"/>
    </w:rPr>
  </w:style>
  <w:style w:type="paragraph" w:styleId="714">
    <w:name w:val="Strong"/>
    <w:basedOn w:val="706"/>
    <w:next w:val="706"/>
    <w:qFormat/>
    <w:pPr>
      <w:pBdr/>
      <w:spacing/>
      <w:ind/>
    </w:pPr>
    <w:rPr>
      <w:b/>
      <w:bCs/>
    </w:rPr>
  </w:style>
  <w:style w:type="paragraph" w:styleId="715">
    <w:name w:val="List Paragraph"/>
    <w:basedOn w:val="706"/>
    <w:qFormat/>
    <w:pPr>
      <w:pBdr/>
      <w:spacing/>
      <w:ind/>
    </w:pPr>
  </w:style>
  <w:style w:type="character" w:styleId="716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717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18">
    <w:name w:val="footnote text"/>
    <w:basedOn w:val="706"/>
    <w:link w:val="71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19">
    <w:name w:val="Footnote Text Char"/>
    <w:link w:val="718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20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21">
    <w:name w:val="endnote text"/>
    <w:basedOn w:val="706"/>
    <w:link w:val="72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22">
    <w:name w:val="Endnote Text Char"/>
    <w:link w:val="721"/>
    <w:uiPriority w:val="99"/>
    <w:semiHidden/>
    <w:unhideWhenUsed/>
    <w:pPr>
      <w:pBdr/>
      <w:spacing/>
      <w:ind/>
    </w:pPr>
    <w:rPr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2</cp:revision>
  <dcterms:created xsi:type="dcterms:W3CDTF">2026-09-30T15:18:47Z</dcterms:created>
  <dcterms:modified xsi:type="dcterms:W3CDTF">2026-10-01T11:22:16Z</dcterms:modified>
</cp:coreProperties>
</file>