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u w:val="none"/>
          <w:rtl w:val="0"/>
        </w:rPr>
        <w:t xml:space="preserve">ФАГОМ МИНЕРАЛЬНЫХ ИСТОЧНИКОВ СЕВЕРНОЙ ОСЕТИИ: ПРЕОБЛАДАНИЕ НЕИЗВЕСТНЫХ БАКТЕРИОФАГОВ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u w:val="single"/>
          <w:rtl w:val="0"/>
        </w:rPr>
        <w:t xml:space="preserve">Синявский Никита Николаевич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u w:val="none"/>
          <w:rtl w:val="0"/>
        </w:rPr>
        <w:t xml:space="preserve">, Золотиков Устин Евгеньевич, Тощаков Степан Владимирович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u w:val="none"/>
          <w:shd w:fill="auto" w:val="clear"/>
          <w:rtl w:val="0"/>
        </w:rPr>
        <w:t xml:space="preserve">Национальный исследовательский центр «Курчатовский институт», Москва,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u w:val="none"/>
          <w:rtl w:val="0"/>
        </w:rPr>
        <w:t xml:space="preserve">nekitsinyavskiy@gmail.com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14:paraId="00000007">
      <w:pPr>
        <w:spacing w:after="0" w:before="0" w:line="276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Вирусы подземных вод остаются недостаточно изученными [1]: такие воды бедны биомассой, и вирусной ДНК в них мало. Мы исследовали фракцию вирусных частиц трёх источников Северной Осетии — двух холодных минеральных выходов системы Тиб (15–17 °C) и термального щелочного источника Бирагзанг (48 °C, pH 8,8). Все обнаруженные в ней вирусы — бактериофаги, поэтому эту фракцию точнее называть фагомом.</w:t>
      </w:r>
    </w:p>
    <w:p w14:paraId="00000008">
      <w:pPr>
        <w:spacing w:after="0" w:before="0" w:line="276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Фракцию получали фильтрацией воды через Sterivex 0,22 мкм и концентрированием на Amicon 30 кДа; клеточные фракции тех же точек (фильтры 0,22 и 0,44 мкм) и цельную воду секвенировали в том же запуске Illumina NovaSeq. Метагеномы собирали metaSPAdes, фаговые контиги выявляли VirSorter2 [2] и CheckV [3], кластеризовали в vOTU (95 % ANI, 85 % покрытия) и проверяли geNomad [4]. Новизну фагов оценивали по средней аминокислотной идентичности (AAI) с ближайшим геномом базы CheckV, их происхождение — сопоставлением с клеточными фракциями тех же точек.</w:t>
      </w:r>
    </w:p>
    <w:p w14:paraId="00000009">
      <w:pPr>
        <w:spacing w:after="0" w:before="0" w:line="276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каталог из 88 бактериофагов длиной от 5 до 44 тыс. п. н.: 87 хвостатых (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t xml:space="preserve">Caudoviricetes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один нитчатый (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t xml:space="preserve">Inoviridae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Почти все они неизвестны: до семейства отнесены лишь три фага — два к 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t xml:space="preserve">Autographiviridae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один к 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t xml:space="preserve">Mesyanzhinovviridae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AAI с ближайшим известным геномом составила 24–76 % (медиана 46 %): ни у одного фага нет в базе представителя того же вида, а у 85 из 88 сходство ниже 70 %, то есть они, по-видимому, представляют новые роды и таксоны более высокого ранга.</w:t>
      </w:r>
    </w:p>
    <w:p w14:paraId="0000000A">
      <w:pPr>
        <w:spacing w:after="0" w:before="0" w:line="276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Около трети фагов — умеренные: 15 найдены как профаги в бактериальных хромосомах, ещё у 13 есть гены лизогении (репрессоры, антирепрессоры, рекомбиназы). Два из наиболее обильных фагов — профаги 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t xml:space="preserve">Sphingomonas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для двух фагов системы Тиб кандидатом в хозяева по общим k-мерам (PHIST) оказалась 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t xml:space="preserve">Brevundimonas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геном которой собран из клеточной фракции той же точки.</w:t>
      </w:r>
    </w:p>
    <w:p w14:paraId="0000000B">
      <w:pPr>
        <w:spacing w:after="0" w:before="0" w:line="276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Происхождение фагов неоднородно. Пятнадцать из них независимо подтверждены клеточными фракциями своих точек (14 — Тиб-2, один — Бирагзанга). Не менее 27 фагов связаны с бактериями, ДНК которых есть только во фракции вирусных частиц и нет в остальных библиотеках прогона, — в том числе с </w:t>
      </w:r>
      <w: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t xml:space="preserve">Sphingomonas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типичным контаминантом работ с малой биомассой [5]. Эти фаги преобладают по обилию, поэтому фагомы разных источников мы не сравнивали.</w:t>
      </w:r>
    </w:p>
    <w:p w14:paraId="0000000C">
      <w:pPr>
        <w:spacing w:after="0" w:before="0" w:line="276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фагом минеральных источников Северной Осетии представлен преимущественно неизвестными бактериофагами, большинство которых, по-видимому, относится к новым родам.</w:t>
      </w:r>
    </w:p>
    <w:p w:rsidR="00000000" w:rsidDel="00000000" w:rsidP="00000000" w:rsidRDefault="00000000" w:rsidRPr="00000000" w14:paraId="0000000D">
      <w:pPr>
        <w:spacing w:after="0" w:before="0" w:line="276" w:lineRule="auto"/>
        <w:ind w:firstLine="567"/>
        <w:jc w:val="both"/>
        <w:rPr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u w:val="none"/>
          <w:shd w:fill="auto" w:val="clear"/>
          <w:rtl w:val="0"/>
        </w:rPr>
        <w:t xml:space="preserve">Работа выполнена при поддержке тематического плана НИЦ «Курчатовский институт».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u w:val="none"/>
          <w:rtl w:val="0"/>
        </w:rPr>
        <w:t xml:space="preserve">Литература</w:t>
      </w:r>
      <w:r w:rsidDel="00000000" w:rsidR="00000000" w:rsidRPr="00000000">
        <w:rPr>
          <w:rtl w:val="0"/>
        </w:rPr>
      </w:r>
    </w:p>
    <w:p w14:paraId="00000100">
      <w:pPr>
        <w:keepLines/>
        <w:spacing w:after="0" w:before="0" w:line="276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Gios E. et al. High niche specificity and host genetic diversity of groundwater viruses // The ISME Journal. 2024. Vol. 18. Art. wrae035.</w:t>
      </w:r>
    </w:p>
    <w:p w14:paraId="00000101">
      <w:pPr>
        <w:keepLines/>
        <w:spacing w:after="0" w:before="0" w:line="276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Guo J. et al. VirSorter2: a multi-classifier, expert-guided approach to detect diverse DNA and RNA viruses // Microbiome. 2021. Vol. 9. Art. 37.</w:t>
      </w:r>
    </w:p>
    <w:p w14:paraId="00000102">
      <w:pPr>
        <w:keepLines/>
        <w:spacing w:after="0" w:before="0" w:line="276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Nayfach S. et al. CheckV assesses the quality and completeness of metagenome-assembled viral genomes // Nature Biotechnology. 2021. Vol. 39. P. 578–585.</w:t>
      </w:r>
    </w:p>
    <w:p w14:paraId="00000103">
      <w:pPr>
        <w:keepLines/>
        <w:spacing w:after="0" w:before="0" w:line="276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Camargo A.P. et al. Identification of mobile genetic elements with geNomad // Nature Biotechnology. 2024. Vol. 42. P. 1303–1312.</w:t>
      </w:r>
    </w:p>
    <w:p w14:paraId="00000104">
      <w:pPr>
        <w:keepLines/>
        <w:spacing w:after="0" w:before="0" w:line="276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Salter S.J. et al. Reagent and laboratory contamination can critically impact sequence-based microbiome analyses // BMC Biology. 2014. Vol. 12. Art. 87.</w:t>
      </w:r>
    </w:p>
    <w:p w:rsidR="00000000" w:rsidDel="00000000" w:rsidP="00000000" w:rsidRDefault="00000000" w:rsidRPr="00000000" w14:paraId="00000018">
      <w:pPr>
        <w:spacing w:after="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7" w:right="141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rackRevision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240" w:line="360" w:lineRule="auto"/>
      <w:ind w:firstLine="567"/>
      <w:jc w:val="center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