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hd w:val="clear" w:color="auto" w:fill="ffffff"/>
        <w:spacing w:before="300" w:after="150"/>
        <w:jc w:val="center"/>
        <w:outlineLvl w:val="2"/>
        <w:rPr>
          <w:b/>
          <w:noProof/>
          <w:color w:val="002060"/>
          <w:sz w:val="36"/>
          <w:szCs w:val="36"/>
          <w:lang w:val="uz-Cyrl-UZ"/>
        </w:rPr>
      </w:pPr>
      <w:r>
        <w:rPr>
          <w:b/>
          <w:noProof/>
          <w:color w:val="002060"/>
          <w:sz w:val="36"/>
          <w:szCs w:val="36"/>
          <w:lang w:val="uz-Cyrl-UZ"/>
        </w:rPr>
        <w:t>O‘ZBEKISTON RESPUBLIKASI AXBOROT TEXNOLOGIYaLARI VA KOMMUNIKATSIYaLARINI RIVOJLANTIRISh VAZIRLIGI</w:t>
      </w:r>
    </w:p>
    <w:p>
      <w:pPr>
        <w:pStyle w:val="style0"/>
        <w:shd w:val="clear" w:color="auto" w:fill="ffffff"/>
        <w:jc w:val="center"/>
        <w:rPr>
          <w:b/>
          <w:noProof/>
          <w:color w:val="002060"/>
          <w:sz w:val="36"/>
          <w:szCs w:val="36"/>
          <w:shd w:val="clear" w:color="auto" w:fill="ffffff"/>
          <w:lang w:val="uz-Cyrl-UZ"/>
        </w:rPr>
      </w:pPr>
      <w:r>
        <w:rPr>
          <w:b/>
          <w:noProof/>
          <w:color w:val="002060"/>
          <w:sz w:val="36"/>
          <w:szCs w:val="36"/>
          <w:shd w:val="clear" w:color="auto" w:fill="ffffff"/>
          <w:lang w:val="uz-Cyrl-UZ"/>
        </w:rPr>
        <w:t xml:space="preserve">MUHAMMAD AL-XORAZMIY NOMIDAGI </w:t>
      </w:r>
    </w:p>
    <w:p>
      <w:pPr>
        <w:pStyle w:val="style0"/>
        <w:shd w:val="clear" w:color="auto" w:fill="ffffff"/>
        <w:jc w:val="center"/>
        <w:rPr>
          <w:rFonts w:ascii="Arial" w:cs="Arial" w:hAnsi="Arial"/>
          <w:noProof/>
          <w:color w:val="747373"/>
          <w:sz w:val="36"/>
          <w:szCs w:val="36"/>
          <w:shd w:val="clear" w:color="auto" w:fill="ffffff"/>
          <w:lang w:val="uz-Cyrl-UZ"/>
        </w:rPr>
      </w:pPr>
      <w:r>
        <w:rPr>
          <w:b/>
          <w:noProof/>
          <w:color w:val="002060"/>
          <w:sz w:val="36"/>
          <w:szCs w:val="36"/>
          <w:shd w:val="clear" w:color="auto" w:fill="ffffff"/>
          <w:lang w:val="uz-Cyrl-UZ"/>
        </w:rPr>
        <w:t>TOShKENT AXBOROT TEXNOLOGIYaLARI UNIVERSITETI</w:t>
      </w:r>
    </w:p>
    <w:p>
      <w:pPr>
        <w:pStyle w:val="style0"/>
        <w:shd w:val="clear" w:color="auto" w:fill="ffffff"/>
        <w:jc w:val="center"/>
        <w:rPr>
          <w:rFonts w:ascii="Arial" w:cs="Arial" w:hAnsi="Arial"/>
          <w:noProof/>
          <w:color w:val="002060"/>
          <w:sz w:val="36"/>
          <w:szCs w:val="36"/>
          <w:shd w:val="clear" w:color="auto" w:fill="ffffff"/>
          <w:lang w:val="uz-Cyrl-UZ"/>
        </w:rPr>
      </w:pPr>
    </w:p>
    <w:p>
      <w:pPr>
        <w:pStyle w:val="style0"/>
        <w:shd w:val="clear" w:color="auto" w:fill="ffffff"/>
        <w:jc w:val="center"/>
        <w:rPr>
          <w:rFonts w:ascii="Arial" w:cs="Arial" w:hAnsi="Arial"/>
          <w:noProof/>
          <w:color w:val="002060"/>
          <w:sz w:val="36"/>
          <w:szCs w:val="36"/>
          <w:shd w:val="clear" w:color="auto" w:fill="ffffff"/>
          <w:lang w:val="uz-Cyrl-UZ"/>
        </w:rPr>
      </w:pPr>
    </w:p>
    <w:p>
      <w:pPr>
        <w:pStyle w:val="style0"/>
        <w:shd w:val="clear" w:color="auto" w:fill="ffffff"/>
        <w:jc w:val="center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shd w:val="clear" w:color="auto" w:fill="ffffff"/>
        <w:jc w:val="center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shd w:val="clear" w:color="auto" w:fill="ffffff"/>
        <w:jc w:val="center"/>
        <w:rPr>
          <w:noProof/>
          <w:color w:val="984806"/>
          <w:sz w:val="36"/>
          <w:szCs w:val="36"/>
          <w:lang w:val="uz-Cyrl-UZ"/>
        </w:rPr>
      </w:pPr>
      <w:r>
        <w:rPr>
          <w:noProof/>
          <w:color w:val="984806"/>
          <w:sz w:val="36"/>
          <w:szCs w:val="36"/>
          <w:lang w:val="uz-Cyrl-UZ"/>
        </w:rPr>
        <w:t>“Energiya ta’minlash tizimlari” kafedrasi</w:t>
      </w:r>
    </w:p>
    <w:p>
      <w:pPr>
        <w:pStyle w:val="style0"/>
        <w:shd w:val="clear" w:color="auto" w:fill="ffffff"/>
        <w:jc w:val="center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shd w:val="clear" w:color="auto" w:fill="ffffff"/>
        <w:jc w:val="center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shd w:val="clear" w:color="auto" w:fill="ffffff"/>
        <w:jc w:val="center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shd w:val="clear" w:color="auto" w:fill="ffffff"/>
        <w:jc w:val="center"/>
        <w:rPr>
          <w:b/>
          <w:bCs/>
          <w:i/>
          <w:noProof/>
          <w:sz w:val="36"/>
          <w:szCs w:val="36"/>
          <w:lang w:val="uz-Cyrl-UZ"/>
        </w:rPr>
      </w:pPr>
      <w:r>
        <w:rPr>
          <w:b/>
          <w:bCs/>
          <w:i/>
          <w:noProof/>
          <w:sz w:val="36"/>
          <w:szCs w:val="36"/>
          <w:lang w:val="uz-Cyrl-UZ"/>
        </w:rPr>
        <w:t>“Metrologiya, standartlashtirish va sertifikatlashtirish”</w:t>
      </w:r>
    </w:p>
    <w:p>
      <w:pPr>
        <w:pStyle w:val="style0"/>
        <w:shd w:val="clear" w:color="auto" w:fill="ffffff"/>
        <w:jc w:val="center"/>
        <w:rPr>
          <w:b/>
          <w:bCs/>
          <w:i/>
          <w:noProof/>
          <w:sz w:val="36"/>
          <w:szCs w:val="36"/>
          <w:lang w:val="uz-Cyrl-UZ"/>
        </w:rPr>
      </w:pPr>
      <w:r>
        <w:rPr>
          <w:b/>
          <w:bCs/>
          <w:i/>
          <w:noProof/>
          <w:sz w:val="36"/>
          <w:szCs w:val="36"/>
          <w:lang w:val="uz-Cyrl-UZ"/>
        </w:rPr>
        <w:t>fanidan</w:t>
      </w:r>
    </w:p>
    <w:p>
      <w:pPr>
        <w:pStyle w:val="style0"/>
        <w:shd w:val="clear" w:color="auto" w:fill="ffffff"/>
        <w:jc w:val="center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shd w:val="clear" w:color="auto" w:fill="ffffff"/>
        <w:jc w:val="center"/>
        <w:rPr>
          <w:noProof/>
          <w:color w:val="002060"/>
          <w:sz w:val="36"/>
          <w:szCs w:val="36"/>
          <w:lang w:val="uz-Cyrl-UZ"/>
        </w:rPr>
      </w:pPr>
      <w:r>
        <w:rPr>
          <w:rStyle w:val="style4097"/>
          <w:noProof/>
          <w:color w:val="0f243e"/>
          <w:sz w:val="28"/>
          <w:lang w:val="uz-Cyrl-UZ"/>
        </w:rPr>
        <w:t>AMALIYoT</w:t>
      </w:r>
    </w:p>
    <w:p>
      <w:pPr>
        <w:pStyle w:val="style0"/>
        <w:shd w:val="clear" w:color="auto" w:fill="ffffff"/>
        <w:jc w:val="center"/>
        <w:rPr>
          <w:b/>
          <w:noProof/>
          <w:color w:val="002060"/>
          <w:sz w:val="48"/>
          <w:szCs w:val="36"/>
          <w:lang w:val="en-US"/>
        </w:rPr>
      </w:pPr>
      <w:r>
        <w:rPr>
          <w:b/>
          <w:noProof/>
          <w:color w:val="002060"/>
          <w:sz w:val="48"/>
          <w:szCs w:val="36"/>
          <w:lang w:val="uz-Cyrl-UZ"/>
        </w:rPr>
        <w:t>TOPShIRIQ №</w:t>
      </w:r>
      <w:r>
        <w:rPr>
          <w:b/>
          <w:noProof/>
          <w:color w:val="002060"/>
          <w:sz w:val="48"/>
          <w:szCs w:val="36"/>
          <w:lang w:val="en-US"/>
        </w:rPr>
        <w:t>2</w:t>
      </w:r>
    </w:p>
    <w:p>
      <w:pPr>
        <w:pStyle w:val="style0"/>
        <w:shd w:val="clear" w:color="auto" w:fill="ffffff"/>
        <w:jc w:val="right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jc w:val="both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jc w:val="both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jc w:val="both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ind w:left="4111" w:hanging="425"/>
        <w:rPr>
          <w:noProof/>
          <w:color w:val="0d0d0d"/>
          <w:sz w:val="20"/>
          <w:szCs w:val="36"/>
          <w:lang w:val="uz-Cyrl-UZ"/>
        </w:rPr>
      </w:pPr>
      <w:r>
        <w:rPr>
          <w:noProof/>
          <w:color w:val="002060"/>
          <w:sz w:val="36"/>
          <w:szCs w:val="36"/>
          <w:lang w:val="uz-Cyrl-UZ"/>
        </w:rPr>
        <w:t xml:space="preserve"> Bajardi: 840-19 guruh talabasi Aliyarov Xurshid</w:t>
      </w:r>
    </w:p>
    <w:p>
      <w:pPr>
        <w:pStyle w:val="style0"/>
        <w:jc w:val="right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jc w:val="right"/>
        <w:rPr>
          <w:noProof/>
          <w:color w:val="002060"/>
          <w:sz w:val="36"/>
          <w:szCs w:val="36"/>
          <w:lang w:val="uz-Cyrl-UZ"/>
        </w:rPr>
      </w:pPr>
      <w:r>
        <w:rPr>
          <w:noProof/>
          <w:color w:val="002060"/>
          <w:sz w:val="36"/>
          <w:szCs w:val="36"/>
          <w:lang w:val="uz-Cyrl-UZ"/>
        </w:rPr>
        <w:t>Qabul qildi: Haydarbekova Moxirahon</w:t>
      </w:r>
    </w:p>
    <w:p>
      <w:pPr>
        <w:pStyle w:val="style0"/>
        <w:jc w:val="right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jc w:val="right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jc w:val="center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jc w:val="center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jc w:val="center"/>
        <w:rPr>
          <w:noProof/>
          <w:color w:val="002060"/>
          <w:sz w:val="36"/>
          <w:szCs w:val="36"/>
          <w:lang w:val="uz-Cyrl-UZ"/>
        </w:rPr>
      </w:pPr>
    </w:p>
    <w:p>
      <w:pPr>
        <w:pStyle w:val="style0"/>
        <w:jc w:val="center"/>
        <w:rPr>
          <w:b/>
          <w:noProof/>
          <w:color w:val="0d0d0d"/>
          <w:sz w:val="28"/>
          <w:szCs w:val="28"/>
          <w:lang w:val="uz-Cyrl-UZ"/>
        </w:rPr>
      </w:pPr>
      <w:r>
        <w:rPr>
          <w:b/>
          <w:noProof/>
          <w:color w:val="0d0d0d"/>
          <w:sz w:val="28"/>
          <w:szCs w:val="28"/>
          <w:lang w:val="uz-Cyrl-UZ"/>
        </w:rPr>
        <w:t>Toshkent 2021</w:t>
      </w:r>
    </w:p>
    <w:p>
      <w:pPr>
        <w:pStyle w:val="style0"/>
        <w:rPr>
          <w:noProof/>
          <w:lang w:val="uz-Cyrl-UZ"/>
        </w:rPr>
      </w:pPr>
    </w:p>
    <w:p>
      <w:pPr>
        <w:pStyle w:val="style0"/>
        <w:spacing w:lineRule="auto" w:line="276"/>
        <w:ind w:firstLine="709"/>
        <w:jc w:val="center"/>
        <w:rPr>
          <w:noProof/>
          <w:sz w:val="28"/>
          <w:szCs w:val="28"/>
          <w:lang w:val="uz-Cyrl-UZ"/>
        </w:rPr>
      </w:pPr>
      <w:r>
        <w:rPr>
          <w:noProof/>
          <w:sz w:val="28"/>
          <w:szCs w:val="28"/>
          <w:lang w:val="uz-Cyrl-UZ"/>
        </w:rPr>
        <w:t xml:space="preserve">Variant №2 </w:t>
      </w:r>
    </w:p>
    <w:p>
      <w:pPr>
        <w:pStyle w:val="style0"/>
        <w:spacing w:lineRule="auto" w:line="276"/>
        <w:ind w:firstLine="709"/>
        <w:jc w:val="center"/>
        <w:rPr>
          <w:b/>
          <w:bCs/>
          <w:noProof/>
          <w:sz w:val="28"/>
          <w:szCs w:val="28"/>
          <w:lang w:val="uz-Cyrl-UZ"/>
        </w:rPr>
      </w:pPr>
      <w:r>
        <w:rPr>
          <w:b/>
          <w:bCs/>
          <w:noProof/>
          <w:sz w:val="28"/>
          <w:szCs w:val="28"/>
          <w:lang w:val="uz-Cyrl-UZ"/>
        </w:rPr>
        <w:t>1-topshiriq</w:t>
      </w:r>
    </w:p>
    <w:p>
      <w:pPr>
        <w:pStyle w:val="style0"/>
        <w:widowControl w:val="false"/>
        <w:autoSpaceDE w:val="false"/>
        <w:autoSpaceDN w:val="false"/>
        <w:adjustRightInd w:val="false"/>
        <w:spacing w:lineRule="auto" w:line="276"/>
        <w:ind w:right="55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color w:val="000000"/>
          <w:sz w:val="28"/>
          <w:szCs w:val="28"/>
          <w:lang w:val="uz-Cyrl-UZ" w:eastAsia="en-US"/>
        </w:rPr>
        <w:t>2.</w:t>
      </w:r>
      <w:r>
        <w:rPr>
          <w:rFonts w:ascii="Arial" w:cs="Arial" w:eastAsia="Calibri" w:hAnsi="Arial"/>
          <w:color w:val="000000"/>
          <w:sz w:val="28"/>
          <w:szCs w:val="28"/>
          <w:lang w:val="uz-Cyrl-UZ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uz-Cyrl-UZ" w:eastAsia="en-US"/>
        </w:rPr>
        <w:t>“Standartlashtirish to’g’risida” gi Qonun nechta bo’limni va moddani o’z ichiga oladi?</w:t>
      </w:r>
      <w:r>
        <w:rPr>
          <w:rFonts w:eastAsia="Calibri"/>
          <w:sz w:val="28"/>
          <w:szCs w:val="28"/>
          <w:lang w:val="uz-Cyrl-UZ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Izohlang</w:t>
      </w:r>
      <w:r>
        <w:rPr>
          <w:rFonts w:eastAsia="Calibri"/>
          <w:color w:val="000000"/>
          <w:sz w:val="28"/>
          <w:szCs w:val="28"/>
          <w:lang w:val="en-US" w:eastAsia="en-US"/>
        </w:rPr>
        <w:t>?</w:t>
      </w:r>
    </w:p>
    <w:p>
      <w:pPr>
        <w:pStyle w:val="style0"/>
        <w:widowControl w:val="false"/>
        <w:autoSpaceDE w:val="false"/>
        <w:autoSpaceDN w:val="false"/>
        <w:adjustRightInd w:val="false"/>
        <w:spacing w:lineRule="auto" w:line="276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color w:val="000000"/>
          <w:sz w:val="28"/>
          <w:szCs w:val="28"/>
          <w:lang w:val="en-US" w:eastAsia="en-US"/>
        </w:rPr>
        <w:t>55.</w:t>
      </w:r>
      <w:r>
        <w:rPr>
          <w:rFonts w:ascii="Arial" w:cs="Arial" w:eastAsia="Calibri" w:hAnsi="Arial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Muntazam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xatoliklarning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turlari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nechta</w:t>
      </w:r>
      <w:r>
        <w:rPr>
          <w:rFonts w:eastAsia="Calibri"/>
          <w:color w:val="000000"/>
          <w:sz w:val="28"/>
          <w:szCs w:val="28"/>
          <w:lang w:val="en-US" w:eastAsia="en-US"/>
        </w:rPr>
        <w:t>?</w:t>
      </w:r>
    </w:p>
    <w:p>
      <w:pPr>
        <w:pStyle w:val="style0"/>
        <w:widowControl w:val="false"/>
        <w:autoSpaceDE w:val="false"/>
        <w:autoSpaceDN w:val="false"/>
        <w:adjustRightInd w:val="false"/>
        <w:spacing w:lineRule="auto" w:line="276"/>
        <w:rPr>
          <w:rFonts w:eastAsia="Calibri"/>
          <w:color w:val="000000"/>
          <w:sz w:val="28"/>
          <w:szCs w:val="28"/>
          <w:lang w:val="en-US" w:eastAsia="en-US"/>
        </w:rPr>
      </w:pPr>
      <w:r>
        <w:rPr>
          <w:rFonts w:eastAsia="Calibri"/>
          <w:color w:val="000000"/>
          <w:sz w:val="28"/>
          <w:szCs w:val="28"/>
          <w:lang w:val="en-US" w:eastAsia="en-US"/>
        </w:rPr>
        <w:t>64.</w:t>
      </w:r>
      <w:r>
        <w:rPr>
          <w:rFonts w:ascii="Arial" w:cs="Arial" w:eastAsia="Calibri" w:hAnsi="Arial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O</w:t>
      </w:r>
      <w:r>
        <w:rPr>
          <w:rFonts w:eastAsia="Calibri"/>
          <w:color w:val="000000"/>
          <w:sz w:val="28"/>
          <w:szCs w:val="28"/>
          <w:lang w:val="en-US" w:eastAsia="en-US"/>
        </w:rPr>
        <w:t>’</w:t>
      </w:r>
      <w:r>
        <w:rPr>
          <w:rFonts w:eastAsia="Calibri"/>
          <w:color w:val="000000"/>
          <w:sz w:val="28"/>
          <w:szCs w:val="28"/>
          <w:lang w:val="en-US" w:eastAsia="en-US"/>
        </w:rPr>
        <w:t>lchash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diapazoni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deb </w:t>
      </w:r>
      <w:r>
        <w:rPr>
          <w:rFonts w:eastAsia="Calibri"/>
          <w:color w:val="000000"/>
          <w:sz w:val="28"/>
          <w:szCs w:val="28"/>
          <w:lang w:val="en-US" w:eastAsia="en-US"/>
        </w:rPr>
        <w:t>nimaga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aytiladi</w:t>
      </w:r>
      <w:r>
        <w:rPr>
          <w:rFonts w:eastAsia="Calibri"/>
          <w:color w:val="000000"/>
          <w:sz w:val="28"/>
          <w:szCs w:val="28"/>
          <w:lang w:val="en-US" w:eastAsia="en-US"/>
        </w:rPr>
        <w:t>?</w:t>
      </w:r>
    </w:p>
    <w:p>
      <w:pPr>
        <w:pStyle w:val="style0"/>
        <w:widowControl w:val="false"/>
        <w:autoSpaceDE w:val="false"/>
        <w:autoSpaceDN w:val="false"/>
        <w:adjustRightInd w:val="false"/>
        <w:spacing w:lineRule="auto" w:line="276"/>
        <w:rPr>
          <w:rFonts w:eastAsia="Calibri"/>
          <w:sz w:val="28"/>
          <w:szCs w:val="28"/>
          <w:lang w:val="en-US" w:eastAsia="en-US"/>
        </w:rPr>
      </w:pPr>
    </w:p>
    <w:p>
      <w:pPr>
        <w:pStyle w:val="style0"/>
        <w:widowControl w:val="false"/>
        <w:autoSpaceDE w:val="false"/>
        <w:autoSpaceDN w:val="false"/>
        <w:adjustRightInd w:val="false"/>
        <w:spacing w:lineRule="auto" w:line="276"/>
        <w:ind w:right="55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color w:val="000000"/>
          <w:sz w:val="28"/>
          <w:szCs w:val="28"/>
          <w:lang w:val="en-US" w:eastAsia="en-US"/>
        </w:rPr>
        <w:t>“</w:t>
      </w:r>
      <w:r>
        <w:rPr>
          <w:rFonts w:eastAsia="Calibri"/>
          <w:color w:val="000000"/>
          <w:sz w:val="28"/>
          <w:szCs w:val="28"/>
          <w:lang w:val="en-US" w:eastAsia="en-US"/>
        </w:rPr>
        <w:t>Standartlashtirish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to</w:t>
      </w:r>
      <w:r>
        <w:rPr>
          <w:rFonts w:eastAsia="Calibri"/>
          <w:color w:val="000000"/>
          <w:sz w:val="28"/>
          <w:szCs w:val="28"/>
          <w:lang w:val="en-US" w:eastAsia="en-US"/>
        </w:rPr>
        <w:t>’</w:t>
      </w:r>
      <w:r>
        <w:rPr>
          <w:rFonts w:eastAsia="Calibri"/>
          <w:color w:val="000000"/>
          <w:sz w:val="28"/>
          <w:szCs w:val="28"/>
          <w:lang w:val="en-US" w:eastAsia="en-US"/>
        </w:rPr>
        <w:t>g</w:t>
      </w:r>
      <w:r>
        <w:rPr>
          <w:rFonts w:eastAsia="Calibri"/>
          <w:color w:val="000000"/>
          <w:sz w:val="28"/>
          <w:szCs w:val="28"/>
          <w:lang w:val="en-US" w:eastAsia="en-US"/>
        </w:rPr>
        <w:t>’</w:t>
      </w:r>
      <w:r>
        <w:rPr>
          <w:rFonts w:eastAsia="Calibri"/>
          <w:color w:val="000000"/>
          <w:sz w:val="28"/>
          <w:szCs w:val="28"/>
          <w:lang w:val="en-US" w:eastAsia="en-US"/>
        </w:rPr>
        <w:t>risida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” </w:t>
      </w:r>
      <w:r>
        <w:rPr>
          <w:rFonts w:eastAsia="Calibri"/>
          <w:color w:val="000000"/>
          <w:sz w:val="28"/>
          <w:szCs w:val="28"/>
          <w:lang w:val="en-US" w:eastAsia="en-US"/>
        </w:rPr>
        <w:t>gi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Qonun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nechta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bo</w:t>
      </w:r>
      <w:r>
        <w:rPr>
          <w:rFonts w:eastAsia="Calibri"/>
          <w:color w:val="000000"/>
          <w:sz w:val="28"/>
          <w:szCs w:val="28"/>
          <w:lang w:val="en-US" w:eastAsia="en-US"/>
        </w:rPr>
        <w:t>’</w:t>
      </w:r>
      <w:r>
        <w:rPr>
          <w:rFonts w:eastAsia="Calibri"/>
          <w:color w:val="000000"/>
          <w:sz w:val="28"/>
          <w:szCs w:val="28"/>
          <w:lang w:val="en-US" w:eastAsia="en-US"/>
        </w:rPr>
        <w:t>limni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va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moddani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o</w:t>
      </w:r>
      <w:r>
        <w:rPr>
          <w:rFonts w:eastAsia="Calibri"/>
          <w:color w:val="000000"/>
          <w:sz w:val="28"/>
          <w:szCs w:val="28"/>
          <w:lang w:val="en-US" w:eastAsia="en-US"/>
        </w:rPr>
        <w:t>’</w:t>
      </w:r>
      <w:r>
        <w:rPr>
          <w:rFonts w:eastAsia="Calibri"/>
          <w:color w:val="000000"/>
          <w:sz w:val="28"/>
          <w:szCs w:val="28"/>
          <w:lang w:val="en-US" w:eastAsia="en-US"/>
        </w:rPr>
        <w:t>z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ichiga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oladi</w:t>
      </w:r>
      <w:r>
        <w:rPr>
          <w:rFonts w:eastAsia="Calibri"/>
          <w:color w:val="000000"/>
          <w:sz w:val="28"/>
          <w:szCs w:val="28"/>
          <w:lang w:val="en-US" w:eastAsia="en-US"/>
        </w:rPr>
        <w:t>?</w:t>
      </w:r>
      <w:r>
        <w:rPr>
          <w:rFonts w:eastAsia="Calibri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Izohlang</w:t>
      </w:r>
      <w:r>
        <w:rPr>
          <w:rFonts w:eastAsia="Calibri"/>
          <w:color w:val="000000"/>
          <w:sz w:val="28"/>
          <w:szCs w:val="28"/>
          <w:lang w:val="en-US" w:eastAsia="en-US"/>
        </w:rPr>
        <w:t>?</w:t>
      </w:r>
    </w:p>
    <w:p>
      <w:pPr>
        <w:pStyle w:val="style0"/>
        <w:spacing w:lineRule="auto" w:line="276"/>
        <w:ind w:firstLine="709"/>
        <w:rPr>
          <w:noProof/>
          <w:sz w:val="28"/>
          <w:szCs w:val="28"/>
          <w:lang w:val="en-US"/>
        </w:rPr>
      </w:pPr>
    </w:p>
    <w:p>
      <w:pPr>
        <w:pStyle w:val="style0"/>
        <w:spacing w:lineRule="auto" w:line="276"/>
        <w:ind w:firstLine="709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Standartlashtirish to’g’risidagi qonun 4ta bo’lim 12 ta moddadan iborat bo’lib 1993-yil 28-dekabrda qabul qilingan.</w:t>
      </w:r>
    </w:p>
    <w:p>
      <w:pPr>
        <w:pStyle w:val="style0"/>
        <w:spacing w:lineRule="auto" w:line="276"/>
        <w:ind w:firstLine="709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Bo’limlar:</w:t>
      </w:r>
    </w:p>
    <w:p>
      <w:pPr>
        <w:pStyle w:val="style179"/>
        <w:numPr>
          <w:ilvl w:val="0"/>
          <w:numId w:val="1"/>
        </w:numPr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Standartlashtirishning asosiy maqsadlari</w:t>
      </w:r>
      <w:r>
        <w:rPr>
          <w:noProof/>
          <w:sz w:val="28"/>
          <w:szCs w:val="28"/>
          <w:lang w:val="en-US"/>
        </w:rPr>
        <w:t>.</w:t>
      </w:r>
    </w:p>
    <w:p>
      <w:pPr>
        <w:pStyle w:val="style179"/>
        <w:numPr>
          <w:ilvl w:val="0"/>
          <w:numId w:val="1"/>
        </w:numPr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S</w:t>
      </w:r>
      <w:r>
        <w:rPr>
          <w:noProof/>
          <w:sz w:val="28"/>
          <w:szCs w:val="28"/>
          <w:lang w:val="en-US"/>
        </w:rPr>
        <w:t>tandartlashtirishga doir normativ hujjatlar</w:t>
      </w:r>
      <w:r>
        <w:rPr>
          <w:noProof/>
          <w:sz w:val="28"/>
          <w:szCs w:val="28"/>
          <w:lang w:val="en-US"/>
        </w:rPr>
        <w:t>.</w:t>
      </w:r>
    </w:p>
    <w:p>
      <w:pPr>
        <w:pStyle w:val="style179"/>
        <w:numPr>
          <w:ilvl w:val="0"/>
          <w:numId w:val="1"/>
        </w:numPr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S</w:t>
      </w:r>
      <w:r>
        <w:rPr>
          <w:noProof/>
          <w:sz w:val="28"/>
          <w:szCs w:val="28"/>
          <w:lang w:val="en-US"/>
        </w:rPr>
        <w:t>tandartlar ustidan davlat nazorati</w:t>
      </w:r>
      <w:r>
        <w:rPr>
          <w:noProof/>
          <w:sz w:val="28"/>
          <w:szCs w:val="28"/>
          <w:lang w:val="en-US"/>
        </w:rPr>
        <w:t>.</w:t>
      </w:r>
    </w:p>
    <w:p>
      <w:pPr>
        <w:pStyle w:val="style179"/>
        <w:numPr>
          <w:ilvl w:val="0"/>
          <w:numId w:val="1"/>
        </w:numPr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avlat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yo‘</w:t>
      </w:r>
      <w:r>
        <w:rPr>
          <w:sz w:val="28"/>
          <w:szCs w:val="28"/>
          <w:lang w:val="en-US"/>
        </w:rPr>
        <w:t>li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bilan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standartlashtirish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va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nazorat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qilishga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doir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ishlarning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moliyaviy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ta’minoti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standartlarni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qo‘</w:t>
      </w:r>
      <w:r>
        <w:rPr>
          <w:sz w:val="28"/>
          <w:szCs w:val="28"/>
          <w:lang w:val="en-US"/>
        </w:rPr>
        <w:t>llashni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rag‘batlantirish</w:t>
      </w:r>
      <w:r>
        <w:rPr>
          <w:sz w:val="28"/>
          <w:szCs w:val="28"/>
          <w:lang w:val="en-US"/>
        </w:rPr>
        <w:t>.</w:t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Standartlashtirishning asosiy maqsadlari:</w:t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mahsulotlar, jarayonlar, ishlar va xizmatlarning (bundan buyon matnda “mahsulot” deb yuritiladi) aholining hayoti, sog‘lig‘i va mol-mulkiga, atrof muhit uchun xavfsizligi, resurslarni tejash masalalarida iste’molchilar va davlat manfaatlarini himoya qilishdan;</w:t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mahsulotlarning o‘zaro almashinuvchanligini va bir-biriga mos kelishini ta’minlashdan;</w:t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fan va texnika taraqqiyoti darajasiga, shuningdek aholining hamda xalq xo‘jaligining ehtiyojlariga muvofiq holda mahsulot sifatini hamda raqobat qila olish imkonini oshirishdan;</w:t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barcha turdagi resurslar tejalishiga ko‘maklashishdan, ishlab chiqarishning texnik-iqtisodiy ko‘rsatkichlarini yaxshilashdan;</w:t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ijtimoiy-iqtisodiy, ilmiy-texnikaviy dasturlar va loyihalarni amalga oshirishdan;</w:t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tabiiy va texnogen falokatlar hamda boshqa favqulodda vaziyatlar yuzaga kelish xavf-xatarini hisobga olgan holda xalq xo‘jaligi obyektlarining xavfsizligini ta’minlashdan;</w:t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iste’molchilarni ishlab chiqarilayotgan mahsulot nomenklaturasi hamda sifati to‘g‘risida to‘liq va ishonchli axborot bilan ta’minlashdan;</w:t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mudofaa qobiliyatini va safarbarlik tayyorligini ta’minlashdan;</w:t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o‘lchovlarning yagona birlikda bo‘lishini ta’minlashdan iboratdir.</w:t>
      </w:r>
    </w:p>
    <w:p>
      <w:pPr>
        <w:pStyle w:val="style0"/>
        <w:spacing w:lineRule="auto" w:line="276"/>
        <w:jc w:val="both"/>
        <w:rPr>
          <w:rFonts w:eastAsia="Calibri"/>
          <w:color w:val="000000"/>
          <w:sz w:val="28"/>
          <w:szCs w:val="28"/>
          <w:lang w:val="en-US" w:eastAsia="en-US"/>
        </w:rPr>
      </w:pPr>
      <w:r>
        <w:rPr>
          <w:rFonts w:eastAsia="Calibri"/>
          <w:color w:val="000000"/>
          <w:sz w:val="28"/>
          <w:szCs w:val="28"/>
          <w:lang w:val="en-US" w:eastAsia="en-US"/>
        </w:rPr>
        <w:t>Muntazam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xatoliklarning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turlari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nechta</w:t>
      </w:r>
      <w:r>
        <w:rPr>
          <w:rFonts w:eastAsia="Calibri"/>
          <w:color w:val="000000"/>
          <w:sz w:val="28"/>
          <w:szCs w:val="28"/>
          <w:lang w:val="en-US" w:eastAsia="en-US"/>
        </w:rPr>
        <w:t>?</w:t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3 ta 1) </w:t>
      </w:r>
      <w:r>
        <w:rPr>
          <w:noProof/>
          <w:sz w:val="28"/>
          <w:szCs w:val="28"/>
          <w:lang w:val="en-US"/>
        </w:rPr>
        <w:t>Uslubiy xаtоliklаr</w:t>
      </w:r>
      <w:r>
        <w:rPr>
          <w:noProof/>
          <w:sz w:val="28"/>
          <w:szCs w:val="28"/>
          <w:lang w:val="en-US"/>
        </w:rPr>
        <w:t xml:space="preserve">  2)A</w:t>
      </w:r>
      <w:r>
        <w:rPr>
          <w:noProof/>
          <w:sz w:val="28"/>
          <w:szCs w:val="28"/>
          <w:lang w:val="en-US"/>
        </w:rPr>
        <w:t>sbоbiy (qurilmаviy) xаtоliklаr</w:t>
      </w:r>
      <w:r>
        <w:rPr>
          <w:noProof/>
          <w:sz w:val="28"/>
          <w:szCs w:val="28"/>
          <w:lang w:val="en-US"/>
        </w:rPr>
        <w:t xml:space="preserve"> 3) </w:t>
      </w:r>
      <w:r>
        <w:rPr>
          <w:noProof/>
          <w:sz w:val="28"/>
          <w:szCs w:val="28"/>
          <w:lang w:val="en-US"/>
        </w:rPr>
        <w:t>Sub`еktiv xаtоliklаr</w:t>
      </w:r>
    </w:p>
    <w:p>
      <w:pPr>
        <w:pStyle w:val="style0"/>
        <w:spacing w:lineRule="auto" w:line="276"/>
        <w:jc w:val="both"/>
        <w:rPr>
          <w:rFonts w:eastAsia="Calibri"/>
          <w:color w:val="000000"/>
          <w:sz w:val="28"/>
          <w:szCs w:val="28"/>
          <w:lang w:val="en-US" w:eastAsia="en-US"/>
        </w:rPr>
      </w:pPr>
      <w:r>
        <w:rPr>
          <w:rFonts w:eastAsia="Calibri"/>
          <w:color w:val="000000"/>
          <w:sz w:val="28"/>
          <w:szCs w:val="28"/>
          <w:lang w:val="en-US" w:eastAsia="en-US"/>
        </w:rPr>
        <w:t>O</w:t>
      </w:r>
      <w:r>
        <w:rPr>
          <w:rFonts w:eastAsia="Calibri"/>
          <w:color w:val="000000"/>
          <w:sz w:val="28"/>
          <w:szCs w:val="28"/>
          <w:lang w:val="en-US" w:eastAsia="en-US"/>
        </w:rPr>
        <w:t>’</w:t>
      </w:r>
      <w:r>
        <w:rPr>
          <w:rFonts w:eastAsia="Calibri"/>
          <w:color w:val="000000"/>
          <w:sz w:val="28"/>
          <w:szCs w:val="28"/>
          <w:lang w:val="en-US" w:eastAsia="en-US"/>
        </w:rPr>
        <w:t>lchash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diapazoni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deb </w:t>
      </w:r>
      <w:r>
        <w:rPr>
          <w:rFonts w:eastAsia="Calibri"/>
          <w:color w:val="000000"/>
          <w:sz w:val="28"/>
          <w:szCs w:val="28"/>
          <w:lang w:val="en-US" w:eastAsia="en-US"/>
        </w:rPr>
        <w:t>nimaga</w:t>
      </w:r>
      <w:r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val="en-US" w:eastAsia="en-US"/>
        </w:rPr>
        <w:t>aytiladi</w:t>
      </w:r>
      <w:r>
        <w:rPr>
          <w:rFonts w:eastAsia="Calibri"/>
          <w:color w:val="000000"/>
          <w:sz w:val="28"/>
          <w:szCs w:val="28"/>
          <w:lang w:val="en-US" w:eastAsia="en-US"/>
        </w:rPr>
        <w:t>?</w:t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</w:t>
      </w:r>
      <w:r>
        <w:rPr>
          <w:noProof/>
          <w:sz w:val="28"/>
          <w:szCs w:val="28"/>
          <w:lang w:val="en-US"/>
        </w:rPr>
        <w:t>u o'lchanayotgan kattalikning shunday qiymatlar sohasidirki, uning uchun o'lchash vositasi xatoliklarning yo'l qo'yiladigan chegarasi me'yorlangan bo'ladi.</w:t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L="0" distT="0" distB="0" distR="0">
            <wp:extent cx="6109033" cy="3297382"/>
            <wp:effectExtent l="0" t="0" r="6350" b="0"/>
            <wp:docPr id="1026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09033" cy="32973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</w:p>
    <w:tbl>
      <w:tblPr>
        <w:tblStyle w:val="style154"/>
        <w:tblW w:w="10063" w:type="dxa"/>
        <w:tblLook w:val="04A0" w:firstRow="1" w:lastRow="0" w:firstColumn="1" w:lastColumn="0" w:noHBand="0" w:noVBand="1"/>
      </w:tblPr>
      <w:tblGrid>
        <w:gridCol w:w="3354"/>
        <w:gridCol w:w="6709"/>
      </w:tblGrid>
      <w:tr>
        <w:trPr>
          <w:trHeight w:val="1978" w:hRule="atLeast"/>
        </w:trPr>
        <w:tc>
          <w:tcPr>
            <w:tcW w:w="3354" w:type="dxa"/>
            <w:tcBorders/>
          </w:tcPr>
          <w:p>
            <w:pPr>
              <w:pStyle w:val="style0"/>
              <w:spacing w:lineRule="auto" w:line="276"/>
              <w:jc w:val="both"/>
              <w:rPr>
                <w:noProof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0</m:t>
                    </m:r>
                  </m:sup>
                </m:sSup>
              </m:oMath>
            </m:oMathPara>
          </w:p>
          <w:p>
            <w:pPr>
              <w:pStyle w:val="style0"/>
              <w:spacing w:lineRule="auto" w:line="276"/>
              <w:jc w:val="both"/>
              <w:rPr>
                <w:noProof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yu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25</m:t>
                    </m:r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C</m:t>
                </m:r>
              </m:oMath>
            </m:oMathPara>
          </w:p>
          <w:p>
            <w:pPr>
              <w:pStyle w:val="style0"/>
              <w:spacing w:lineRule="auto" w:line="276"/>
              <w:jc w:val="both"/>
              <w:rPr>
                <w:noProof/>
                <w:sz w:val="28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an.kl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=0,5</m:t>
                </m:r>
              </m:oMath>
            </m:oMathPara>
          </w:p>
          <w:p>
            <w:pPr>
              <w:pStyle w:val="style0"/>
              <w:spacing w:lineRule="auto" w:line="276"/>
              <w:jc w:val="both"/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6709" w:type="dxa"/>
            <w:tcBorders/>
          </w:tcPr>
          <w:p>
            <w:pPr>
              <w:pStyle w:val="style0"/>
              <w:spacing w:lineRule="auto" w:line="276"/>
              <w:jc w:val="both"/>
              <w:rPr>
                <w:noProof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36"/>
                    <w:szCs w:val="36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36"/>
                    <w:szCs w:val="36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noProof/>
                    <w:sz w:val="36"/>
                    <w:szCs w:val="36"/>
                    <w:lang w:val="en-US"/>
                  </w:rPr>
                  <m:t>T=±δ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36"/>
                        <w:szCs w:val="3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36"/>
                        <w:szCs w:val="36"/>
                        <w:lang w:val="en-US"/>
                      </w:rPr>
                      <m:t>Tyu+Tquy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36"/>
                        <w:szCs w:val="36"/>
                        <w:lang w:val="en-US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noProof/>
                    <w:sz w:val="36"/>
                    <w:szCs w:val="36"/>
                    <w:lang w:val="en-US"/>
                  </w:rPr>
                  <m:t>=±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36"/>
                        <w:szCs w:val="3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36"/>
                        <w:szCs w:val="36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36"/>
                        <w:szCs w:val="36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noProof/>
                    <w:sz w:val="36"/>
                    <w:szCs w:val="36"/>
                    <w:lang w:val="en-US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36"/>
                        <w:szCs w:val="3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36"/>
                        <w:szCs w:val="36"/>
                        <w:lang w:val="en-US"/>
                      </w:rPr>
                      <m:t>250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36"/>
                        <w:szCs w:val="36"/>
                        <w:lang w:val="en-US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noProof/>
                    <w:sz w:val="36"/>
                    <w:szCs w:val="36"/>
                    <w:lang w:val="en-US"/>
                  </w:rPr>
                  <m:t>=±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36"/>
                        <w:szCs w:val="3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36"/>
                        <w:szCs w:val="36"/>
                        <w:lang w:val="en-US"/>
                      </w:rPr>
                      <m:t>1,25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36"/>
                        <w:szCs w:val="36"/>
                        <w:lang w:val="en-US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noProof/>
                    <w:sz w:val="36"/>
                    <w:szCs w:val="36"/>
                    <w:lang w:val="en-US"/>
                  </w:rPr>
                  <m:t>C</m:t>
                </m:r>
                <m:r>
                  <w:rPr>
                    <w:rFonts w:ascii="Cambria Math" w:hAnsi="Cambria Math"/>
                    <w:noProof/>
                    <w:sz w:val="36"/>
                    <w:szCs w:val="36"/>
                    <w:lang w:val="en-US"/>
                  </w:rPr>
                  <w:br/>
                </m:r>
              </m:oMath>
            </m:oMathPara>
          </w:p>
        </w:tc>
      </w:tr>
    </w:tbl>
    <w:p>
      <w:pPr>
        <w:pStyle w:val="style0"/>
        <w:spacing w:lineRule="auto" w:line="276"/>
        <w:jc w:val="both"/>
        <w:rPr>
          <w:noProof/>
          <w:sz w:val="28"/>
          <w:szCs w:val="28"/>
          <w:lang w:val="en-US"/>
        </w:rPr>
      </w:pPr>
    </w:p>
    <w:p>
      <w:pPr>
        <w:pStyle w:val="style0"/>
        <w:spacing w:after="160" w:lineRule="auto" w:line="259"/>
        <w:rPr>
          <w:noProof/>
          <w:sz w:val="28"/>
          <w:szCs w:val="28"/>
          <w:lang w:val="en-US"/>
        </w:rPr>
      </w:pPr>
      <w:r>
        <w:rPr/>
        <w:drawing>
          <wp:inline distL="114300" distT="0" distB="0" distR="114300">
            <wp:extent cx="6016525" cy="4512395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16525" cy="45123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br w:type="page"/>
      </w:r>
    </w:p>
    <w:p>
      <w:pPr>
        <w:pStyle w:val="style179"/>
        <w:spacing w:lineRule="auto" w:line="276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Xulosa</w:t>
      </w:r>
    </w:p>
    <w:p>
      <w:pPr>
        <w:pStyle w:val="style179"/>
        <w:spacing w:lineRule="auto" w:line="276"/>
        <w:ind w:left="0" w:firstLine="72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Men bu topshiriqlarni bajarish mobaynida standartlashtirish to’g’risidagi qonunni bo’limlarini o’rganib chiqdim, muntazam xatolik, o’lchash diapazoni kabi savollarga javob yozdim. Xatoliklar klassiga doir masalalar yechishni o’rgandim.</w:t>
      </w:r>
    </w:p>
    <w:p>
      <w:pPr>
        <w:pStyle w:val="style179"/>
        <w:spacing w:lineRule="auto" w:line="276"/>
        <w:ind w:left="0" w:firstLine="720"/>
        <w:jc w:val="both"/>
        <w:rPr>
          <w:noProof/>
          <w:sz w:val="28"/>
          <w:szCs w:val="28"/>
          <w:lang w:val="en-US"/>
        </w:rPr>
      </w:pPr>
    </w:p>
    <w:p>
      <w:pPr>
        <w:pStyle w:val="style179"/>
        <w:spacing w:lineRule="auto" w:line="276"/>
        <w:ind w:left="0" w:firstLine="720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Foydalanilgan adabiyotlar:</w:t>
      </w:r>
    </w:p>
    <w:p>
      <w:pPr>
        <w:pStyle w:val="style179"/>
        <w:numPr>
          <w:ilvl w:val="0"/>
          <w:numId w:val="6"/>
        </w:num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“lex.uz” sayti</w:t>
      </w:r>
    </w:p>
    <w:p>
      <w:pPr>
        <w:pStyle w:val="style179"/>
        <w:numPr>
          <w:ilvl w:val="0"/>
          <w:numId w:val="6"/>
        </w:num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Metrologiya, standarlashtirish va sertifikatlashtirish fanidan taqdimotlar, amaliy ishlar</w:t>
      </w:r>
    </w:p>
    <w:p>
      <w:pPr>
        <w:pStyle w:val="style179"/>
        <w:numPr>
          <w:ilvl w:val="0"/>
          <w:numId w:val="6"/>
        </w:num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Internet ma’lumotlari</w:t>
      </w:r>
    </w:p>
    <w:p>
      <w:pPr>
        <w:pStyle w:val="style179"/>
        <w:ind w:left="1080"/>
        <w:rPr>
          <w:noProof/>
          <w:sz w:val="28"/>
          <w:szCs w:val="28"/>
          <w:lang w:val="en-US"/>
        </w:rPr>
      </w:pPr>
    </w:p>
    <w:sectPr>
      <w:pgSz w:w="11906" w:h="16838" w:orient="portrait"/>
      <w:pgMar w:top="1134" w:right="850" w:bottom="1134" w:left="1701" w:header="708" w:footer="708" w:gutter="0"/>
      <w:pgBorders w:zOrder="front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cc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2020204"/>
    <w:charset w:val="cc"/>
    <w:family w:val="swiss"/>
    <w:pitch w:val="variable"/>
    <w:sig w:usb0="E0002EFF" w:usb1="C000785B" w:usb2="00000009" w:usb3="00000000" w:csb0="000001FF" w:csb1="00000000"/>
  </w:font>
  <w:font w:name="Cambria Math">
    <w:altName w:val="Cambria Math"/>
    <w:panose1 w:val="02040503050004030204"/>
    <w:charset w:val="cc"/>
    <w:family w:val="roman"/>
    <w:pitch w:val="variable"/>
    <w:sig w:usb0="E00006FF" w:usb1="420024FF" w:usb2="02000000" w:usb3="00000000" w:csb0="0000019F" w:csb1="00000000"/>
  </w:font>
  <w:font w:name="Calibri Light">
    <w:altName w:val="Calibri Light"/>
    <w:panose1 w:val="020f0302020002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85E04964"/>
    <w:lvl w:ilvl="0" w:tplc="2804A9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0000001"/>
    <w:multiLevelType w:val="hybridMultilevel"/>
    <w:tmpl w:val="B024C23C"/>
    <w:lvl w:ilvl="0" w:tplc="D82A788A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0000002"/>
    <w:multiLevelType w:val="hybridMultilevel"/>
    <w:tmpl w:val="947247A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0000003"/>
    <w:multiLevelType w:val="hybridMultilevel"/>
    <w:tmpl w:val="F4FCEB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890620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A6104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ru-RU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0" w:lineRule="auto" w:line="240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Intense Reference_b420626b-8507-4984-b5ba-229dada5ed22"/>
    <w:next w:val="style4097"/>
    <w:qFormat/>
    <w:uiPriority w:val="32"/>
    <w:rPr>
      <w:b/>
      <w:bCs/>
      <w:smallCaps/>
      <w:color w:val="c0504d"/>
      <w:spacing w:val="5"/>
      <w:u w:val="single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/>
    </w:pPr>
    <w:r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156">
    <w:name w:val="Placeholder Text"/>
    <w:basedOn w:val="style65"/>
    <w:next w:val="style156"/>
    <w:uiPriority w:val="99"/>
    <w:rPr>
      <w:color w:val="80808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Words>322</Words>
  <Pages>4</Pages>
  <Characters>2787</Characters>
  <Application>WPS Office</Application>
  <DocSecurity>0</DocSecurity>
  <Paragraphs>78</Paragraphs>
  <ScaleCrop>false</ScaleCrop>
  <LinksUpToDate>false</LinksUpToDate>
  <CharactersWithSpaces>3067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2021-12-06T06:49:00Z</dcterms:created>
  <dc:creator>Xurshid</dc:creator>
  <lastModifiedBy>SM-A125F</lastModifiedBy>
  <dcterms:modified xsi:type="dcterms:W3CDTF">2021-12-20T06:50:40Z</dcterms:modified>
  <revision>48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9e35f496c72e4f87993673df99cdc18f</vt:lpwstr>
  </property>
</Properties>
</file>