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2E74B5"/>
          <w:sz w:val="28"/>
        </w:rPr>
        <w:t>SEMMELWEIS EGYETEM</w:t>
      </w:r>
    </w:p>
    <w:p>
      <w:pPr>
        <w:jc w:val="center"/>
      </w:pPr>
      <w:r>
        <w:rPr>
          <w:rFonts w:ascii="Calibri" w:hAnsi="Calibri"/>
          <w:color w:val="404040"/>
          <w:sz w:val="22"/>
        </w:rPr>
        <w:t>Campushálózat Fejlesztési Program</w:t>
      </w:r>
    </w:p>
    <w:p/>
    <w:p>
      <w:pPr>
        <w:jc w:val="center"/>
      </w:pPr>
      <w:r>
        <w:rPr>
          <w:rFonts w:ascii="Calibri" w:hAnsi="Calibri"/>
          <w:b/>
          <w:color w:val="1F3964"/>
          <w:sz w:val="56"/>
        </w:rPr>
        <w:t>Low-Level Design</w:t>
      </w:r>
    </w:p>
    <w:p>
      <w:pPr>
        <w:jc w:val="center"/>
      </w:pPr>
      <w:r>
        <w:rPr>
          <w:rFonts w:ascii="Calibri" w:hAnsi="Calibri"/>
          <w:b/>
          <w:color w:val="2E74B5"/>
          <w:sz w:val="32"/>
        </w:rPr>
        <w:t>Variánsfüggetlen rész</w:t>
      </w:r>
    </w:p>
    <w:p>
      <w:pPr>
        <w:jc w:val="center"/>
      </w:pPr>
      <w:r>
        <w:rPr>
          <w:rFonts w:ascii="Calibri" w:hAnsi="Calibri"/>
          <w:i/>
          <w:color w:val="404040"/>
          <w:sz w:val="22"/>
        </w:rPr>
        <w:t>Enterprise Core  ·  InterConnect  ·  OOB Zóna  ·  Internet Edge + BGP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DDE8F3"/>
          </w:tcPr>
          <w:p>
            <w:r/>
            <w:r>
              <w:rPr>
                <w:rFonts w:ascii="Calibri" w:hAnsi="Calibri"/>
                <w:b/>
                <w:i w:val="0"/>
                <w:color w:val="1F3964"/>
                <w:sz w:val="20"/>
              </w:rPr>
              <w:t>Verzió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0.1 DRAFT</w:t>
            </w:r>
          </w:p>
        </w:tc>
      </w:tr>
      <w:tr>
        <w:tc>
          <w:tcPr>
            <w:tcW w:type="dxa" w:w="2268"/>
            <w:shd w:val="clear" w:color="auto" w:fill="DDE8F3"/>
          </w:tcPr>
          <w:p>
            <w:r/>
            <w:r>
              <w:rPr>
                <w:rFonts w:ascii="Calibri" w:hAnsi="Calibri"/>
                <w:b/>
                <w:i w:val="0"/>
                <w:color w:val="1F3964"/>
                <w:sz w:val="20"/>
              </w:rPr>
              <w:t>Dátum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2026-05-19</w:t>
            </w:r>
          </w:p>
        </w:tc>
      </w:tr>
      <w:tr>
        <w:tc>
          <w:tcPr>
            <w:tcW w:type="dxa" w:w="2268"/>
            <w:shd w:val="clear" w:color="auto" w:fill="DDE8F3"/>
          </w:tcPr>
          <w:p>
            <w:r/>
            <w:r>
              <w:rPr>
                <w:rFonts w:ascii="Calibri" w:hAnsi="Calibri"/>
                <w:b/>
                <w:i w:val="0"/>
                <w:color w:val="1F3964"/>
                <w:sz w:val="20"/>
              </w:rPr>
              <w:t>Szerző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Uzsoki Márk</w:t>
            </w:r>
          </w:p>
        </w:tc>
      </w:tr>
      <w:tr>
        <w:tc>
          <w:tcPr>
            <w:tcW w:type="dxa" w:w="2268"/>
            <w:shd w:val="clear" w:color="auto" w:fill="DDE8F3"/>
          </w:tcPr>
          <w:p>
            <w:r/>
            <w:r>
              <w:rPr>
                <w:rFonts w:ascii="Calibri" w:hAnsi="Calibri"/>
                <w:b/>
                <w:i w:val="0"/>
                <w:color w:val="1F3964"/>
                <w:sz w:val="20"/>
              </w:rPr>
              <w:t>Státusz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BELSŐ TERVEZET — Jóváhagyásra vár</w:t>
            </w:r>
          </w:p>
        </w:tc>
      </w:tr>
      <w:tr>
        <w:tc>
          <w:tcPr>
            <w:tcW w:type="dxa" w:w="2268"/>
            <w:shd w:val="clear" w:color="auto" w:fill="DDE8F3"/>
          </w:tcPr>
          <w:p>
            <w:r/>
            <w:r>
              <w:rPr>
                <w:rFonts w:ascii="Calibri" w:hAnsi="Calibri"/>
                <w:b/>
                <w:i w:val="0"/>
                <w:color w:val="1F3964"/>
                <w:sz w:val="20"/>
              </w:rPr>
              <w:t>Forrás HLD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SOTE-Halozatfejlesztes-HLD-V11.docx</w:t>
            </w:r>
          </w:p>
        </w:tc>
      </w:tr>
      <w:tr>
        <w:tc>
          <w:tcPr>
            <w:tcW w:type="dxa" w:w="2268"/>
            <w:shd w:val="clear" w:color="auto" w:fill="DDE8F3"/>
          </w:tcPr>
          <w:p>
            <w:r/>
            <w:r>
              <w:rPr>
                <w:rFonts w:ascii="Calibri" w:hAnsi="Calibri"/>
                <w:b/>
                <w:i w:val="0"/>
                <w:color w:val="1F3964"/>
                <w:sz w:val="20"/>
              </w:rPr>
              <w:t>Hatókör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Variánsfüggetlen infrastruktúra rétegek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3964"/>
          <w:sz w:val="36"/>
        </w:rPr>
        <w:t>1.  Elnevezési Konvenciók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1.1  Hostname séma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Minden új eszköz neve a következő sémát követi: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&lt;CAMPUS&gt;-&lt;SZEREPKÖR&gt;-&lt;SORSZÁM&gt;</w:t>
      </w:r>
    </w:p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Campus prefix</w:t>
            </w:r>
          </w:p>
        </w:tc>
        <w:tc>
          <w:tcPr>
            <w:tcW w:type="dxa" w:w="6803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Magyarázat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</w:t>
            </w:r>
          </w:p>
        </w:tc>
        <w:tc>
          <w:tcPr>
            <w:tcW w:type="dxa" w:w="6803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Belgyógyászati és Klinikai Tömb szerverterem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Klinikai Komplexum Tömb szerverterem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Szerepkör prefix</w:t>
            </w:r>
          </w:p>
        </w:tc>
        <w:tc>
          <w:tcPr>
            <w:tcW w:type="dxa" w:w="6803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Eszköztípus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EC</w:t>
            </w:r>
          </w:p>
        </w:tc>
        <w:tc>
          <w:tcPr>
            <w:tcW w:type="dxa" w:w="6803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Enterprise Core (Cisco C9500-48Y4C)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InterConnect switch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IE</w:t>
            </w:r>
          </w:p>
        </w:tc>
        <w:tc>
          <w:tcPr>
            <w:tcW w:type="dxa" w:w="6803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Internet Edge switch (Cisco C9200L-24P-4X)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OOB-FW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peremtűzfal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OOB-TSG</w:t>
            </w:r>
          </w:p>
        </w:tc>
        <w:tc>
          <w:tcPr>
            <w:tcW w:type="dxa" w:w="6803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Terminal Server Gateway (C1100TG-1N24P32A)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DIST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Disztribúciós switch (variáns-specifikus LLD)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ACC</w:t>
            </w:r>
          </w:p>
        </w:tc>
        <w:tc>
          <w:tcPr>
            <w:tcW w:type="dxa" w:w="6803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Access switch — épület + emelet kód</w:t>
            </w:r>
          </w:p>
        </w:tc>
      </w:tr>
    </w:tbl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1.1.1  Hostname példák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Hostname</w:t>
            </w:r>
          </w:p>
        </w:tc>
        <w:tc>
          <w:tcPr>
            <w:tcW w:type="dxa" w:w="6236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Eszköz / Szerepkör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6236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Enterprise Core #1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Enterprise Core #2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6236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Enterprise Core #1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Enterprise Core #2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6236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InterConnect #1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InterConnect #2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KKT-IC-1</w:t>
            </w:r>
          </w:p>
        </w:tc>
        <w:tc>
          <w:tcPr>
            <w:tcW w:type="dxa" w:w="6236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InterConnect #1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KKT-IC-2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InterConnect #2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BKT-IE-1</w:t>
            </w:r>
          </w:p>
        </w:tc>
        <w:tc>
          <w:tcPr>
            <w:tcW w:type="dxa" w:w="6236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Internet Edge switch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KKT-IE-1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Internet Edge switch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BKT-OOB-FW</w:t>
            </w:r>
          </w:p>
        </w:tc>
        <w:tc>
          <w:tcPr>
            <w:tcW w:type="dxa" w:w="6236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OOB peremtűzfal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KKT-OOB-FW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OOB peremtűzfal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BKT-OOB-TSG</w:t>
            </w:r>
          </w:p>
        </w:tc>
        <w:tc>
          <w:tcPr>
            <w:tcW w:type="dxa" w:w="6236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Terminal Server Gateway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KKT-OOB-TSG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Terminal Server Gateway</w:t>
            </w:r>
          </w:p>
        </w:tc>
      </w:tr>
    </w:tbl>
    <w:p>
      <w:pPr>
        <w:spacing w:after="120"/>
      </w:pPr>
    </w:p>
    <w:p>
      <w:pPr>
        <w:shd w:val="clear" w:color="auto" w:fill="DAEAF3"/>
        <w:pBdr>
          <w:left w:val="single" w:sz="24" w:space="4" w:color="2E74B5"/>
        </w:pBdr>
        <w:spacing w:before="80" w:after="120"/>
        <w:ind w:left="170"/>
      </w:pPr>
      <w:r>
        <w:rPr>
          <w:rFonts w:ascii="Calibri" w:hAnsi="Calibri"/>
          <w:b w:val="0"/>
          <w:i/>
          <w:color w:val="7F3F00"/>
          <w:sz w:val="18"/>
        </w:rPr>
        <w:t>ℹ  Disztribúciós eszközök: &lt;ÉPÜLET&gt;-DIST-1 / &lt;ÉPÜLET&gt;-DIST-2 — pl. HOGYES-DIST-1, BALASSA-DIST-2. Pontos névlista a variáns-specifikus LLD-ben.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1.2  Interface Description séma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Minden fizikai és logikai interface description mezőjének formátuma: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TO-&lt;CÉLESZKÖZ-HOSTNAME&gt;-&lt;CÉLPORT&gt;  [ &lt;FUNKCIÓ&gt; ]</w:t>
      </w:r>
    </w:p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Példa</w:t>
            </w:r>
          </w:p>
        </w:tc>
        <w:tc>
          <w:tcPr>
            <w:tcW w:type="dxa" w:w="4535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Leírás</w:t>
            </w:r>
          </w:p>
        </w:tc>
      </w:tr>
      <w:tr>
        <w:tc>
          <w:tcPr>
            <w:tcW w:type="dxa" w:w="4535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TO-BKT-IC-1-Fo1/0/1 [BACKBONE-40G]</w:t>
            </w:r>
          </w:p>
        </w:tc>
        <w:tc>
          <w:tcPr>
            <w:tcW w:type="dxa" w:w="45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 portján, BKT-IC-1 felé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TO-BKT-OOB-FW-Gi1/0/1 [OOB-MGMT]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tűzfal felé</w:t>
            </w:r>
          </w:p>
        </w:tc>
      </w:tr>
      <w:tr>
        <w:tc>
          <w:tcPr>
            <w:tcW w:type="dxa" w:w="45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TO-PROMC-RTR-BKT [BGP-PRIMARY]</w:t>
            </w:r>
          </w:p>
        </w:tc>
        <w:tc>
          <w:tcPr>
            <w:tcW w:type="dxa" w:w="45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SP/Pro M router felé (Internet Edge)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TO-BKATA-Gi6/1 [KOEGZISZTENCIA-MIGRACIO]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Legacy core felé, migráció idején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1.3  VLAN névséma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Meglévő VLAN-ok neve változatlan marad. Új VLAN-ok sémája: SOTE-&lt;CSOPORT&gt;-&lt;FUNKCIÓ&gt;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VLAN ID</w:t>
            </w:r>
          </w:p>
        </w:tc>
        <w:tc>
          <w:tcPr>
            <w:tcW w:type="dxa" w:w="3969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Név</w:t>
            </w:r>
          </w:p>
        </w:tc>
        <w:tc>
          <w:tcPr>
            <w:tcW w:type="dxa" w:w="3969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Funkció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SOTE-DOLG-CAMPUS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Általános dolgozók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2001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SOTE-MEDI-CAMPUS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Orvosi/klinikai dolgozók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2002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SOTE-TANU-CAMPUS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Hallgatók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2003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SOTE-GAZD-CAMPUS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Gazdasági dolgozók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2004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SOTE-MEDI-TANU-CAMPUS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Kombinált MEDI+TANU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2005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SOTE-MEDI-GAZD-CAMPUS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Kombinált MEDI+GAZD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2006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SOTE-MEDI-GAZD-TANU-CAMPUS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Hármas kombináció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SOTE-GAZD-TANU-CAMPUS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Kombinált GAZD+TANU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2008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SOTE-INFI-CAMPUS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IT munkatársak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2009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SOTE-BIZT-CAMPUS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Biztonságtechnika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SOTE-INFADMIN-MGMT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IT adminisztrátorok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220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SOTE-MEDMOB-IOT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Mobil medikai eszközök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900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SOTE-OOB-MGMT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Out-of-Band management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901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SOTE-INFRA-P2P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Infrastructure P2P linkek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1.4  ACL / Prefix-list / Route-map névséma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&lt;ESZKÖZ&gt;-&lt;IRÁNY&gt;-&lt;CÉL&gt;-&lt;TÍPUS&gt;</w:t>
      </w:r>
    </w:p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Példa</w:t>
            </w:r>
          </w:p>
        </w:tc>
        <w:tc>
          <w:tcPr>
            <w:tcW w:type="dxa" w:w="5102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Leírás</w:t>
            </w:r>
          </w:p>
        </w:tc>
      </w:tr>
      <w:tr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BKT-EC-1-OUT-CAMPUS-PL</w:t>
            </w:r>
          </w:p>
        </w:tc>
        <w:tc>
          <w:tcPr>
            <w:tcW w:type="dxa" w:w="51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BKT-EC-1-ről kifelé, campus, prefix-list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SOTE-BGP-OUT-PROMC-RM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BGP kifelé Pro M felé, route-map</w:t>
            </w:r>
          </w:p>
        </w:tc>
      </w:tr>
      <w:tr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SOTE-BGP-IN-PROMC-RM</w:t>
            </w:r>
          </w:p>
        </w:tc>
        <w:tc>
          <w:tcPr>
            <w:tcW w:type="dxa" w:w="51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BGP befelé Pro M felől, route-map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SOTE-OSPF100-REDIST-RM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100 redistributálási route-map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3964"/>
          <w:sz w:val="36"/>
        </w:rPr>
        <w:t>2.  IP-Cím Terv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2.1  Meglévő tartományok — érintetlen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Tartomány</w:t>
            </w:r>
          </w:p>
        </w:tc>
        <w:tc>
          <w:tcPr>
            <w:tcW w:type="dxa" w:w="2835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Szerepkör</w:t>
            </w:r>
          </w:p>
        </w:tc>
        <w:tc>
          <w:tcPr>
            <w:tcW w:type="dxa" w:w="4252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Megjegyzés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10.63.64.0/21</w:t>
            </w:r>
          </w:p>
        </w:tc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Management (meglévő)</w:t>
            </w:r>
          </w:p>
        </w:tc>
        <w:tc>
          <w:tcPr>
            <w:tcW w:type="dxa" w:w="4252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Nexus mgmt VRF, default GW: 10.63.64.1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172.27.0.0/24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VXLAN underlay loopbackok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Nexus fabric, OSPF Process 2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172.27.4.0/24</w:t>
            </w:r>
          </w:p>
        </w:tc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VXLAN P2P linkek</w:t>
            </w:r>
          </w:p>
        </w:tc>
        <w:tc>
          <w:tcPr>
            <w:tcW w:type="dxa" w:w="425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Nexus fabric underlay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193.6.209.0/24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BGP / Internet peering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 65008, nyilvános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10.10.255.0/30</w:t>
            </w:r>
          </w:p>
        </w:tc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OSPF Process 1 (Forti–BKATA)</w:t>
            </w:r>
          </w:p>
        </w:tc>
        <w:tc>
          <w:tcPr>
            <w:tcW w:type="dxa" w:w="425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Megmarad migráció végéig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2.2  Új infrastruktúra tartományok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2.2.1  Management — új eszközök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Tartomány</w:t>
            </w:r>
          </w:p>
        </w:tc>
        <w:tc>
          <w:tcPr>
            <w:tcW w:type="dxa" w:w="4535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Eszközök</w:t>
            </w:r>
          </w:p>
        </w:tc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Prefix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új infrastruktúra mgmt</w:t>
            </w:r>
          </w:p>
        </w:tc>
        <w:tc>
          <w:tcPr>
            <w:tcW w:type="dxa" w:w="45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BKT-EC-1/2, BKT-IC-1/2, BKT-IE-1, BKT-OOB-FW/TSG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10.63.72.0/24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új infrastruktúra mgmt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KKT-EC-1/2, KKT-IC-1/2, KKT-IE-1, KKT-OOB-FW/TSG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10.63.73.0/24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dedikált hálózat</w:t>
            </w:r>
          </w:p>
        </w:tc>
        <w:tc>
          <w:tcPr>
            <w:tcW w:type="dxa" w:w="45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OOB-FW ↔ OOB-TSG, admin VPN hozzáférés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10.63.74.0/24</w:t>
            </w:r>
          </w:p>
        </w:tc>
      </w:tr>
    </w:tbl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2.2.2  BKT Management IP kiosztás (10.63.72.0/24)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IP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Hostname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Szerepkör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Default gateway (Management VLAN SVI)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10.63.72.10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Enterprise Core #1 Management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10.63.72.11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Enterprise Core #2 Management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10.63.72.14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InterConnect #1 Management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10.63.72.15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InterConnect #2 Management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10.63.72.18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BKT-IE-1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Internet Edge switch Management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10.63.72.20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BKT-OOB-FW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peremtűzfal Management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10.63.72.22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BKT-OOB-TSG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Server Gateway Management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10.63.72.200–254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DHCP / dinamikus (fenntartott)</w:t>
            </w:r>
          </w:p>
        </w:tc>
      </w:tr>
    </w:tbl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2.2.3  KKT Management IP kiosztás (10.63.73.0/24)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IP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Hostname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Szerepkör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Default gateway (Management VLAN SVI)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10.63.73.10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Enterprise Core #1 Management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10.63.73.11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Enterprise Core #2 Management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10.63.73.14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InterConnect #1 Management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10.63.73.15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KKT-IC-2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InterConnect #2 Management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10.63.73.18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KKT-IE-1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Internet Edge switch Management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10.63.73.20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KKT-OOB-FW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peremtűzfal Management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10.63.73.22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KKT-OOB-TSG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Server Gateway Management</w:t>
            </w:r>
          </w:p>
        </w:tc>
      </w:tr>
    </w:tbl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2.2.4  Infrastructure Loopbackok (Router-ID-ok)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IP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Hostname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Szerepkör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10.63.75.1/32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 / Loopback0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10.63.75.2/32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 / Loopback0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10.63.75.3/32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 / Loopback0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10.63.75.4/32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 / Loopback0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10.63.75.5/32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 / Loopback0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10.63.75.6/32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 / Loopback0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10.63.75.7/32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KKT-IC-1</w:t>
            </w:r>
          </w:p>
        </w:tc>
        <w:tc>
          <w:tcPr>
            <w:tcW w:type="dxa" w:w="481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 / Loopback0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10.63.75.8/32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 / Loopback0</w:t>
            </w:r>
          </w:p>
        </w:tc>
      </w:tr>
    </w:tbl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2.2.5  Infrastructure P2P linkek (10.63.76.0/24)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Subnet /30</w:t>
            </w:r>
          </w:p>
        </w:tc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A-oldal (.1)</w:t>
            </w:r>
          </w:p>
        </w:tc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B-oldal (.2)</w:t>
            </w:r>
          </w:p>
        </w:tc>
        <w:tc>
          <w:tcPr>
            <w:tcW w:type="dxa" w:w="3402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Funkció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10.63.76.0/30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EC#1↔EC#2 BKT belső gerinc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10.63.76.4/30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EC#1↔EC#2 KKT belső gerinc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10.63.76.8/30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EC#1 → IC#1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10.63.76.12/30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EC#1 → IC#2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10.63.76.16/30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EC#2 → IC#1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10.63.76.20/30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EC#2 → IC#2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10.63.76.24/30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KKT-IC-1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EC#1 → IC#1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10.63.76.28/30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EC#1 → IC#2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10.63.76.32/30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KKT-IC-1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EC#2 → IC#1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10.63.76.36/30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EC#2 → IC#2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10.63.76.40/30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KKT-IC-1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 cross-site BKT#1↔KKT#1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10.63.76.44/30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 cross-site BKT#1↔KKT#2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10.63.76.48/30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KKT-IC-1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 cross-site BKT#2↔KKT#1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10.63.76.52/30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 cross-site BKT#2↔KKT#2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10.63.76.56/30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BKT-OOB-FW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OOB-FW BKT → IC#1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10.63.76.60/30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BKT-OOB-FW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OOB-FW BKT → IC#2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10.63.76.64/30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KKT-OOB-FW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KKT-IC-1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OOB-FW KKT → IC#1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10.63.76.68/30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KKT-OOB-FW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KKT-IC-2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OOB-FW KKT → IC#2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10.63.76.100/30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Fortigate BKT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Zónahatár Po2 BKT-EC-1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10.63.76.104/30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Fortigate BKT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Zónahatár Po2 BKT-EC-2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10.63.76.108/30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Fortigate KKT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Zónahatár Po2 KKT-EC-1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10.63.76.112/30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Fortigate KKT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Zónahatár Po2 KKT-EC-2</w:t>
            </w:r>
          </w:p>
        </w:tc>
      </w:tr>
    </w:tbl>
    <w:p>
      <w:pPr>
        <w:spacing w:after="120"/>
      </w:pPr>
    </w:p>
    <w:p>
      <w:pPr>
        <w:shd w:val="clear" w:color="auto" w:fill="DAEAF3"/>
        <w:pBdr>
          <w:left w:val="single" w:sz="24" w:space="4" w:color="2E74B5"/>
        </w:pBdr>
        <w:spacing w:before="80" w:after="120"/>
        <w:ind w:left="170"/>
      </w:pPr>
      <w:r>
        <w:rPr>
          <w:rFonts w:ascii="Calibri" w:hAnsi="Calibri"/>
          <w:b w:val="0"/>
          <w:i/>
          <w:color w:val="7F3F00"/>
          <w:sz w:val="18"/>
        </w:rPr>
        <w:t>ℹ  Disztribúciós uplink P2P linkek (D1 és D2) külön /24 allokáció — a variáns-specifikus LLD-ben kerül rögzítésre.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2.2.6  Kliens Campus VLAN-ok — ISE DHCP scope-ok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VLAN ID</w:t>
            </w:r>
          </w:p>
        </w:tc>
        <w:tc>
          <w:tcPr>
            <w:tcW w:type="dxa" w:w="3402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Név</w:t>
            </w:r>
          </w:p>
        </w:tc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Subnet</w:t>
            </w:r>
          </w:p>
        </w:tc>
        <w:tc>
          <w:tcPr>
            <w:tcW w:type="dxa" w:w="1020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Hosts</w:t>
            </w:r>
          </w:p>
        </w:tc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Gateway</w:t>
            </w:r>
          </w:p>
        </w:tc>
      </w:tr>
      <w:tr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SOTE-DOLG-CAMPUS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10.100.0.0/22</w:t>
            </w:r>
          </w:p>
        </w:tc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1022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10.100.0.1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2001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SOTE-MEDI-CAMPUS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10.100.4.0/22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1022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10.100.4.1</w:t>
            </w:r>
          </w:p>
        </w:tc>
      </w:tr>
      <w:tr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2002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SOTE-TANU-CAMPUS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10.100.8.0/22</w:t>
            </w:r>
          </w:p>
        </w:tc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1022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10.100.8.1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SOTE-GAZD-CAMPUS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10.100.12.0/22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1022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10.100.12.1</w:t>
            </w:r>
          </w:p>
        </w:tc>
      </w:tr>
      <w:tr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2004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SOTE-MEDI-TANU-CAMPUS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10.100.16.0/23</w:t>
            </w:r>
          </w:p>
        </w:tc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510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10.100.16.1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2005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SOTE-MEDI-GAZD-CAMPUS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10.100.18.0/23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10.100.18.1</w:t>
            </w:r>
          </w:p>
        </w:tc>
      </w:tr>
      <w:tr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2006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SOTE-MEDI-GAZD-TANU-CAMPUS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10.100.20.0/23</w:t>
            </w:r>
          </w:p>
        </w:tc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510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10.100.20.1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2007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SOTE-GAZD-TANU-CAMPUS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10.100.22.0/23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10.100.22.1</w:t>
            </w:r>
          </w:p>
        </w:tc>
      </w:tr>
      <w:tr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2008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SOTE-INFI-CAMPUS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10.100.24.0/24</w:t>
            </w:r>
          </w:p>
        </w:tc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254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10.100.24.1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2009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SOTE-BIZT-CAMPUS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10.100.25.0/24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254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10.100.25.1</w:t>
            </w:r>
          </w:p>
        </w:tc>
      </w:tr>
      <w:tr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SOTE-INFADMIN-MGMT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10.100.26.0/24</w:t>
            </w:r>
          </w:p>
        </w:tc>
        <w:tc>
          <w:tcPr>
            <w:tcW w:type="dxa" w:w="102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254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10.100.26.1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220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SOTE-MEDMOB-IOT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10.100.27.0/24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254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10.100.27.1</w:t>
            </w:r>
          </w:p>
        </w:tc>
      </w:tr>
    </w:tbl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2.2.7  OSPF terv — új campus infrastruktúra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Paraméter</w:t>
            </w:r>
          </w:p>
        </w:tc>
        <w:tc>
          <w:tcPr>
            <w:tcW w:type="dxa" w:w="2835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Érték</w:t>
            </w:r>
          </w:p>
        </w:tc>
        <w:tc>
          <w:tcPr>
            <w:tcW w:type="dxa" w:w="4252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Indok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Process ID</w:t>
            </w:r>
          </w:p>
        </w:tc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425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Elkülönített — nem ütközik meglévő OSPF 1/2-vel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Area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0.0.0.0 (backbone)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HLD hibájának elkerülése — meglévő OSPF 1/2 nem backbone area!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Router-ID</w:t>
            </w:r>
          </w:p>
        </w:tc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Loopback0 (10.63.75.x)</w:t>
            </w:r>
          </w:p>
        </w:tc>
        <w:tc>
          <w:tcPr>
            <w:tcW w:type="dxa" w:w="425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Stabil, eszközönként egyedi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Network type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point-to-point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P2P /30 linken — nincs DR/BDR overhead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Hello / Dead</w:t>
            </w:r>
          </w:p>
        </w:tc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10s / 40s</w:t>
            </w:r>
          </w:p>
        </w:tc>
        <w:tc>
          <w:tcPr>
            <w:tcW w:type="dxa" w:w="425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Campus-szintű konvergencia (default IOS-XE érték)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Authentication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MD5 (SOTE-OSPF-KEY)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Hitelesített szomszédság</w:t>
            </w:r>
          </w:p>
        </w:tc>
      </w:tr>
      <w:tr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Redistribute</w:t>
            </w:r>
          </w:p>
        </w:tc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connected + static → OSPF 100</w:t>
            </w:r>
          </w:p>
        </w:tc>
        <w:tc>
          <w:tcPr>
            <w:tcW w:type="dxa" w:w="425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Campus útvonalak hirdetése</w:t>
            </w:r>
          </w:p>
        </w:tc>
      </w:tr>
    </w:tbl>
    <w:p>
      <w:pPr>
        <w:spacing w:after="120"/>
      </w:pPr>
    </w:p>
    <w:p>
      <w:pPr>
        <w:shd w:val="clear" w:color="auto" w:fill="FFF2CC"/>
        <w:pBdr>
          <w:left w:val="single" w:sz="24" w:space="4" w:color="ED7D31"/>
        </w:pBdr>
        <w:spacing w:before="80" w:after="120"/>
        <w:ind w:left="170"/>
      </w:pPr>
      <w:r>
        <w:rPr>
          <w:rFonts w:ascii="Calibri" w:hAnsi="Calibri"/>
          <w:b w:val="0"/>
          <w:i/>
          <w:color w:val="7F3F00"/>
          <w:sz w:val="18"/>
        </w:rPr>
        <w:t>⚠  A meglévő OSPF Process 1 (Fortigate–BKATA, Area 10.10.255.1) és OSPF Process 2 (VXLAN underlay, Area 172.27.0.0) mindkettő non-backbone area — ez az új OSPF 100 bevezetésének egyik fő indoka. Az OSPF Process 1 a Fortigate–új EC integrációig megmarad.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3964"/>
          <w:sz w:val="36"/>
        </w:rPr>
        <w:t>3.  Enterprise Core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3.1  Eszköz áttekintés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Hostname</w:t>
            </w:r>
          </w:p>
        </w:tc>
        <w:tc>
          <w:tcPr>
            <w:tcW w:type="dxa" w:w="311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Modell</w:t>
            </w:r>
          </w:p>
        </w:tc>
        <w:tc>
          <w:tcPr>
            <w:tcW w:type="dxa" w:w="2551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Helyszín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Szerepkör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311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Cisco Catalyst C9500-48Y4C</w:t>
            </w:r>
          </w:p>
        </w:tc>
        <w:tc>
          <w:tcPr>
            <w:tcW w:type="dxa" w:w="255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Szerverterem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Enterprise Core 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Cisco Catalyst C9500-48Y4C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Szerverterem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Enterprise Core #2</w:t>
            </w:r>
          </w:p>
        </w:tc>
      </w:tr>
      <w:tr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311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Cisco Catalyst C9500-48Y4C</w:t>
            </w:r>
          </w:p>
        </w:tc>
        <w:tc>
          <w:tcPr>
            <w:tcW w:type="dxa" w:w="255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Szerverterem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Enterprise Core #1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Cisco Catalyst C9500-48Y4C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Szerverterem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Enterprise Core #2</w:t>
            </w:r>
          </w:p>
        </w:tc>
      </w:tr>
    </w:tbl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3.1.1  C9500-48Y4C portok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 jelölés</w:t>
            </w:r>
          </w:p>
        </w:tc>
        <w:tc>
          <w:tcPr>
            <w:tcW w:type="dxa" w:w="1701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Típus</w:t>
            </w:r>
          </w:p>
        </w:tc>
        <w:tc>
          <w:tcPr>
            <w:tcW w:type="dxa" w:w="850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Darab</w:t>
            </w:r>
          </w:p>
        </w:tc>
        <w:tc>
          <w:tcPr>
            <w:tcW w:type="dxa" w:w="3969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Alkalmazás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TwentyFiveGigE1/0/1–48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25G SFP28</w:t>
            </w:r>
          </w:p>
        </w:tc>
        <w:tc>
          <w:tcPr>
            <w:tcW w:type="dxa" w:w="85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48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Fortigate (MPO breakout), Disztribúció D1/D2 uplinkok, OOB-TSG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HundredGigE1/0/49–52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100G QSFP28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EC↔EC DAC (100G), IC uplinkok (40G QSFP-40G-SR4)</w:t>
            </w:r>
          </w:p>
        </w:tc>
      </w:tr>
      <w:tr>
        <w:tc>
          <w:tcPr>
            <w:tcW w:type="dxa" w:w="2835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GigabitEthernet0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1G RJ45</w:t>
            </w:r>
          </w:p>
        </w:tc>
        <w:tc>
          <w:tcPr>
            <w:tcW w:type="dxa" w:w="850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969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Dedikált OOB Management port (Mgmt-vrf)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3.2  Fizikai port-kiosztás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3.2.1  BKT-EC-1 port-kiosztás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417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Típus</w:t>
            </w:r>
          </w:p>
        </w:tc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Céleszköz</w:t>
            </w:r>
          </w:p>
        </w:tc>
        <w:tc>
          <w:tcPr>
            <w:tcW w:type="dxa" w:w="1417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Cél-port</w:t>
            </w:r>
          </w:p>
        </w:tc>
        <w:tc>
          <w:tcPr>
            <w:tcW w:type="dxa" w:w="1701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Médium</w:t>
            </w:r>
          </w:p>
        </w:tc>
        <w:tc>
          <w:tcPr>
            <w:tcW w:type="dxa" w:w="1701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SFP/Kábel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Hu1/0/49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100G QSFP28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Hu1/0/49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100G DAC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QSFP28-100G-CU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Hu1/0/50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100G QSFP28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Hu1/0/50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100G DAC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QSFP28-100G-CU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Fo1/0/51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40G QSFP+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Fo1/0/1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40G MMF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QSFP-40G-SR4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40G QSFP+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40G MMF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QSFP-40G-SR4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TF1/0/1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Fortigate BKT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MMF (MPO lane 1)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SFP-10G-SR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Fortigate BKT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MMF (MPO lane 2)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SFP-10G-SR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TF1/0/3–9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Dist D2 #1–7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D2-uplink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SMF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SFP-10G-LR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TF1/0/10–20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Dist D1 #1–11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D1-uplink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SMF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SFP-10G-LR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TF1/0/47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BKT-OOB-TSG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Gi1/0/1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MMF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SFP-10G-SR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1G Mgmt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switch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UTP Cat6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3.2.2  BKT-EC-2 port-kiosztás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417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Típus</w:t>
            </w:r>
          </w:p>
        </w:tc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Céleszköz</w:t>
            </w:r>
          </w:p>
        </w:tc>
        <w:tc>
          <w:tcPr>
            <w:tcW w:type="dxa" w:w="1417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Cél-port</w:t>
            </w:r>
          </w:p>
        </w:tc>
        <w:tc>
          <w:tcPr>
            <w:tcW w:type="dxa" w:w="1701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Médium</w:t>
            </w:r>
          </w:p>
        </w:tc>
        <w:tc>
          <w:tcPr>
            <w:tcW w:type="dxa" w:w="1701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SFP/Kábel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Hu1/0/49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100G QSFP28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Hu1/0/49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100G DAC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QSFP28-100G-CU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Hu1/0/50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100G QSFP28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Hu1/0/50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100G DAC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QSFP28-100G-CU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Fo1/0/51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40G QSFP+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BKT-IC-1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Fo1/0/2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40G MMF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QSFP-40G-SR4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40G QSFP+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BKT-IC-2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40G MMF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QSFP-40G-SR4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TF1/0/1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Fortigate BKT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MMF (MPO lane 3)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SFP-10G-SR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Fortigate BKT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MMF (MPO lane 4)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SFP-10G-SR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TF1/0/3–9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 Dist D2 #8–14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D2-uplink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SMF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SFP-10G-LR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TF1/0/10–20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 Dist D1 #1–11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D1-uplink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SMF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SFP-10G-LR</w:t>
            </w:r>
          </w:p>
        </w:tc>
      </w:tr>
      <w:tr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TF1/0/47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SFP28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BKT-OOB-TSG</w:t>
            </w:r>
          </w:p>
        </w:tc>
        <w:tc>
          <w:tcPr>
            <w:tcW w:type="dxa" w:w="1417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Gi1/0/2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10G MMF</w:t>
            </w:r>
          </w:p>
        </w:tc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SFP-10G-SR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1G Mgmt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switch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UTP Cat6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hd w:val="clear" w:color="auto" w:fill="DAEAF3"/>
        <w:pBdr>
          <w:left w:val="single" w:sz="24" w:space="4" w:color="2E74B5"/>
        </w:pBdr>
        <w:spacing w:before="80" w:after="120"/>
        <w:ind w:left="170"/>
      </w:pPr>
      <w:r>
        <w:rPr>
          <w:rFonts w:ascii="Calibri" w:hAnsi="Calibri"/>
          <w:b w:val="0"/>
          <w:i/>
          <w:color w:val="7F3F00"/>
          <w:sz w:val="18"/>
        </w:rPr>
        <w:t>ℹ  KKT-EC-1 és KKT-EC-2: azonos logika, tükrözve. KKT-EC-1: BKT Dist D2 #1–6 + KKT Dist D1 #1–14 (helyi). KKT-EC-2: BKT Dist D2 #7–11 + KKT Dist D1 #1–14 (helyi). Pontos épület–port mapping az optikai felmérés után, variáns-specifikus LLD-ben.</w:t>
      </w:r>
    </w:p>
    <w:p>
      <w:pPr>
        <w:shd w:val="clear" w:color="auto" w:fill="FFF2CC"/>
        <w:pBdr>
          <w:left w:val="single" w:sz="24" w:space="4" w:color="ED7D31"/>
        </w:pBdr>
        <w:spacing w:before="80" w:after="120"/>
        <w:ind w:left="170"/>
      </w:pPr>
      <w:r>
        <w:rPr>
          <w:rFonts w:ascii="Calibri" w:hAnsi="Calibri"/>
          <w:b w:val="0"/>
          <w:i/>
          <w:color w:val="7F3F00"/>
          <w:sz w:val="18"/>
        </w:rPr>
        <w:t>⚠  A Fortigate → EC kapcsolat MPO-LC breakout kábelen fut: a Fortigate QSFP-40G-SR4 (MPO-12) portja 2× LC duplex párba bomlik szét, amelyek a EC TF1/0/1–2 portjaira csatlakoznak (2×10G = Po2 LACP LAG). Ha a Fortigate ennél nagyobb sávszélességet igényel, 4× lane (4×10G = Po2 40G) is kialakítható.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3.3  IOS-XE konfiguráció — BKT-EC-1</w:t>
      </w:r>
    </w:p>
    <w:p>
      <w:pPr>
        <w:shd w:val="clear" w:color="auto" w:fill="DAEAF3"/>
        <w:pBdr>
          <w:left w:val="single" w:sz="24" w:space="4" w:color="2E74B5"/>
        </w:pBdr>
        <w:spacing w:before="80" w:after="120"/>
        <w:ind w:left="170"/>
      </w:pPr>
      <w:r>
        <w:rPr>
          <w:rFonts w:ascii="Calibri" w:hAnsi="Calibri"/>
          <w:b w:val="0"/>
          <w:i/>
          <w:color w:val="7F3F00"/>
          <w:sz w:val="18"/>
        </w:rPr>
        <w:t>ℹ  Sablon: BKT-EC-2, KKT-EC-1, KKT-EC-2 ugyanígy — IP-értékek az IP-cím tervnek megfelelően cserélendők.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3.3.1  Alap konfiguráció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hostname BKT-EC-1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ip domain-name sote.hu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ip name-server 10.63.64.2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 ── Authentikáció ──────────────────────────────────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aaa new-model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aaa authentication login default group tacacs+ local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aaa authorization exec default group tacacs+ local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aaa accounting exec default start-stop group tacacs+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username admin privilege 15 algorithm-type sha256 secret &lt;PASSWORD&gt;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 ── SSH ────────────────────────────────────────────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crypto key generate rsa modulus 4096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ip ssh version 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ip ssh time-out 60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ip ssh authentication-retries 3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line vty 0 15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transport input ssh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login authentication default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exec-timeout 15 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 ── NTP ────────────────────────────────────────────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ntp server 10.63.64.5 prefer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ntp server 10.63.64.6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 ── Logging ────────────────────────────────────────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logging host 10.63.64.10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logging trap informational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logging source-interface Loopback0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service timestamps log datetime msec localtime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 ── SNMP ───────────────────────────────────────────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snmp-server community &lt;COMMUNITY-RO&gt; RO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snmp-server location BKT Szerverterem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snmp-server contact netops@sote.hu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snmp-server host 10.63.64.10 version 2c &lt;COMMUNITY-RO&gt;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3.3.2  Management interface (OOB)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GigabitEthernet0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TO-BKT-OOB-TSG-Gi0/0 [OOB-MGMT]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vrf forwarding Mgmt-vrf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address 10.63.72.10 255.255.255.0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ip route vrf Mgmt-vrf 0.0.0.0 0.0.0.0 10.63.72.1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3.3.3  Loopback0 (Router-ID)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Loopback0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ROUTER-ID-OSPF100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address 10.63.75.1 255.255.255.255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3.3.4  EC#1 ↔ EC#2 belső gerinc (Port-Channel1, 2×100G DAC)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Port-channel1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TO-BKT-EC-2-Po1 [BACKBONE-100G]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switchport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address 10.63.76.1 255.255.255.252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network point-to-point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100 area 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authentication message-digest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message-digest-key 1 md5 &lt;OSPF-KEY&gt;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HundredGigE1/0/49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TO-BKT-EC-2-Hu1/0/49 [BACKBONE-DAC-1]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switchport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channel-group 1 mode active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HundredGigE1/0/50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TO-BKT-EC-2-Hu1/0/50 [BACKBONE-DAC-2]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switchport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channel-group 1 mode active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3.3.5  EC → InterConnect uplinkok (40G MMF)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FortyGigabitEthernet1/0/51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TO-BKT-IC-1-Fo1/0/1 [BACKBONE-40G]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switchport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address 10.63.76.9 255.255.255.252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network point-to-point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100 area 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authentication message-digest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message-digest-key 1 md5 &lt;OSPF-KEY&gt;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FortyGigabitEthernet1/0/52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TO-BKT-IC-2-Fo1/0/1 [BACKBONE-40G]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switchport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address 10.63.76.13 255.255.255.252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network point-to-point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100 area 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authentication message-digest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ospf message-digest-key 1 md5 &lt;OSPF-KEY&gt;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3.3.6  EC → Fortigate zónahatár (Po2, 2×10G MPO breakout)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Port-channel2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TO-FORTIGATE-BKT-Po2 [ZONEBORDER-FW]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switchport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ip address 10.63.76.101 255.255.255.252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TwentyFiveGigE1/0/1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TO-FORTIGATE-BKT-MPO-LANE1 [ZONEBORDER-FW]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switchport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channel-group 2 mode active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interface TwentyFiveGigE1/0/2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description TO-FORTIGATE-BKT-MPO-LANE2 [ZONEBORDER-FW]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switchport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channel-group 2 mode active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shutdown</w:t>
      </w:r>
    </w:p>
    <w:p>
      <w:pPr>
        <w:spacing w:after="120"/>
      </w:pPr>
    </w:p>
    <w:p>
      <w:pPr>
        <w:shd w:val="clear" w:color="auto" w:fill="DAEAF3"/>
        <w:pBdr>
          <w:left w:val="single" w:sz="24" w:space="4" w:color="2E74B5"/>
        </w:pBdr>
        <w:spacing w:before="80" w:after="120"/>
        <w:ind w:left="170"/>
      </w:pPr>
      <w:r>
        <w:rPr>
          <w:rFonts w:ascii="Calibri" w:hAnsi="Calibri"/>
          <w:b w:val="0"/>
          <w:i/>
          <w:color w:val="7F3F00"/>
          <w:sz w:val="18"/>
        </w:rPr>
        <w:t>ℹ  OSPF Process 1 (Fortigate–EC szomszédság) a Fortigate meglévő OSPF 1 konfigurációjával kompatibilis módon kerül kialakításra. A BKATA–Fortigate OSPF 1 szomszédság a migráció végéig párhuzamosan fut.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5B9BD5"/>
          <w:sz w:val="24"/>
        </w:rPr>
        <w:t>3.3.7  OSPF Process 100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router ospf 100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router-id 10.63.75.1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area 0 authentication message-digest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passive-interface default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passive-interface Port-channel1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passive-interface FortyGigabitEthernet1/0/51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passive-interface FortyGigabitEthernet1/0/52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no passive-interface TwentyFiveGigE1/0/3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!  ... (disztribúciós uplink interfészek — ismételni minden aktív portnál)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network 10.63.75.1 0.0.0.0 area 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network 10.63.76.0 0.0.0.255 area 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redistribute connected subnets route-map OSPF100-REDIST-CONNECTED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ip prefix-list OSPF100-LOOPBACKS seq 10 permit 10.63.75.0/24 le 32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ip prefix-list OSPF100-INFRA    seq 10 permit 10.63.76.0/24 le 30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!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>route-map OSPF100-REDIST-CONNECTED permit 10</w:t>
      </w:r>
    </w:p>
    <w:p>
      <w:pPr>
        <w:shd w:val="clear" w:color="auto" w:fill="1E1E1E"/>
        <w:spacing w:before="0" w:after="0"/>
        <w:ind w:left="170"/>
      </w:pPr>
      <w:r>
        <w:rPr>
          <w:rFonts w:ascii="Consolas" w:hAnsi="Consolas"/>
          <w:color w:val="D4D4D4"/>
          <w:sz w:val="16"/>
        </w:rPr>
        <w:t xml:space="preserve"> match ip address prefix-list OSPF100-LOOPBACKS OSPF100-INFRA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8"/>
        </w:rPr>
        <w:t>3.4  Enterprise Core — összefoglaló IP-táblázat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Eszköz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Interface</w:t>
            </w:r>
          </w:p>
        </w:tc>
        <w:tc>
          <w:tcPr>
            <w:tcW w:type="dxa" w:w="1984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IP</w:t>
            </w:r>
          </w:p>
        </w:tc>
        <w:tc>
          <w:tcPr>
            <w:tcW w:type="dxa" w:w="3402"/>
            <w:shd w:val="clear" w:color="auto" w:fill="1F39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Leírás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Loopback0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10.63.75.1/32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GE0 (Mgmt-vrf)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10.63.72.10/24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Management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Po1 (↔BKT-EC-2)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10.63.76.1/30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EC belső gerinc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Fo1/0/51 (↔IC#1)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10.63.76.9/30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IC#1 uplink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Fo1/0/52 (↔IC#2)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10.63.76.13/30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IC#2 uplink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Po2 (↔Fortigate)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10.63.76.101/30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Zónahatár Forti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Loopback0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10.63.75.2/32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GE0 (Mgmt-vrf)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10.63.72.11/24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Management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Po1 (↔BKT-EC-1)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10.63.76.2/30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EC belső gerinc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Fo1/0/51 (↔IC#1)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10.63.76.17/30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IC#1 uplink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Fo1/0/52 (↔IC#2)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10.63.76.21/30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IC#2 uplink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BKT-EC-2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Po2 (↔Fortigate)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10.63.76.105/30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Zónahatár Forti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Loopback0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10.63.75.3/32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GE0 (Mgmt-vrf)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10.63.73.10/24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Management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Po1 (↔KKT-EC-2)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10.63.76.5/30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EC belső gerinc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Fo1/0/51 (↔IC#1)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10.63.76.25/30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IC#1 uplink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Fo1/0/52 (↔IC#2)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10.63.76.29/30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IC#2 uplink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Po2 (↔Fortigate)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10.63.76.109/30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Zónahatár Forti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Loopback0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10.63.75.4/32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OSPF Router-ID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GE0 (Mgmt-vrf)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10.63.73.11/24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OOB Management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Po1 (↔KKT-EC-1)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10.63.76.6/30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EC belső gerinc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Fo1/0/51 (↔IC#1)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10.63.76.33/30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IC#1 uplink</w:t>
            </w:r>
          </w:p>
        </w:tc>
      </w:tr>
      <w:tr>
        <w:tc>
          <w:tcPr>
            <w:tcW w:type="dxa" w:w="1701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2268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Fo1/0/52 (↔IC#2)</w:t>
            </w:r>
          </w:p>
        </w:tc>
        <w:tc>
          <w:tcPr>
            <w:tcW w:type="dxa" w:w="1984"/>
            <w:shd w:val="clear" w:color="auto" w:fill="DDE8F3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10.63.76.37/30</w:t>
            </w:r>
          </w:p>
        </w:tc>
        <w:tc>
          <w:tcPr>
            <w:tcW w:type="dxa" w:w="3402"/>
            <w:shd w:val="clear" w:color="auto" w:fill="DDE8F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IC#2 uplink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KKT-EC-2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Po2 (↔Fortigate)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10.63.76.113/30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Zónahatár Forti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