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240"/>
        <w:jc w:val="center"/>
      </w:pPr>
      <w:r>
        <w:rPr>
          <w:rFonts w:ascii="Arial" w:cs="Arial" w:eastAsia="Arial" w:hAnsi="Arial"/>
          <w:b/>
          <w:bCs/>
          <w:color w:val="1F4E79"/>
          <w:sz w:val="52"/>
          <w:szCs w:val="52"/>
        </w:rPr>
        <w:t xml:space="preserve">SOTE Hálózatfejlesztés</w:t>
      </w:r>
    </w:p>
    <w:p>
      <w:pPr>
        <w:spacing w:before="0" w:after="160"/>
        <w:jc w:val="center"/>
      </w:pPr>
      <w:r>
        <w:rPr>
          <w:rFonts w:ascii="Arial" w:cs="Arial" w:eastAsia="Arial" w:hAnsi="Arial"/>
          <w:color w:val="2E75B6"/>
          <w:sz w:val="36"/>
          <w:szCs w:val="36"/>
        </w:rPr>
        <w:t xml:space="preserve">High Level Design (HLD)</w:t>
      </w:r>
    </w:p>
    <w:p>
      <w:pPr>
        <w:pBdr>
          <w:bottom w:val="single" w:color="2E75B6" w:sz="6" w:space="1"/>
        </w:pBdr>
        <w:spacing w:before="0" w:after="400"/>
      </w:pPr>
      <w:r>
        <w:t xml:space="preserve"/>
      </w:r>
    </w:p>
    <w:p>
      <w:pPr>
        <w:spacing w:before="0" w:after="120"/>
        <w:jc w:val="center"/>
      </w:pPr>
      <w:r>
        <w:rPr>
          <w:rFonts w:ascii="Arial" w:cs="Arial" w:eastAsia="Arial" w:hAnsi="Arial"/>
          <w:color w:val="404040"/>
          <w:sz w:val="26"/>
          <w:szCs w:val="26"/>
        </w:rPr>
        <w:t xml:space="preserve">Semmelweis Egyetem</w:t>
      </w:r>
    </w:p>
    <w:p>
      <w:pPr>
        <w:spacing w:before="0" w:after="120"/>
        <w:jc w:val="center"/>
      </w:pPr>
      <w:r>
        <w:rPr>
          <w:rFonts w:ascii="Arial" w:cs="Arial" w:eastAsia="Arial" w:hAnsi="Arial"/>
          <w:color w:val="606060"/>
          <w:sz w:val="24"/>
          <w:szCs w:val="24"/>
        </w:rPr>
        <w:t xml:space="preserve">Hálózati Infrastruktúra Fejlesztési Program</w:t>
      </w:r>
    </w:p>
    <w:p>
      <w:pPr>
        <w:jc w:val="center"/>
      </w:pPr>
      <w:r>
        <w:rPr>
          <w:rFonts w:ascii="Arial" w:cs="Arial" w:eastAsia="Arial" w:hAnsi="Arial"/>
          <w:color w:val="808080"/>
          <w:sz w:val="22"/>
          <w:szCs w:val="22"/>
        </w:rPr>
        <w:t xml:space="preserve">Verzió: 1.1  |  Dátum: 2025</w:t>
      </w:r>
    </w:p>
    <w:p>
      <w:r>
        <w:br w:type="page"/>
      </w:r>
    </w:p>
    <w:p>
      <w:pPr>
        <w:pStyle w:val="Heading1"/>
        <w:pBdr>
          <w:bottom w:val="single" w:color="2E75B6" w:sz="4" w:space="1"/>
        </w:pBdr>
        <w:spacing w:before="400" w:after="200"/>
      </w:pPr>
      <w:r>
        <w:rPr>
          <w:rFonts w:ascii="Arial" w:cs="Arial" w:eastAsia="Arial" w:hAnsi="Arial"/>
          <w:b/>
          <w:bCs/>
          <w:color w:val="1F4E79"/>
          <w:sz w:val="32"/>
          <w:szCs w:val="32"/>
        </w:rPr>
        <w:t xml:space="preserve">Dokumentum információ</w:t>
      </w:r>
    </w:p>
    <w:p>
      <w:pPr>
        <w:spacing w:before="0" w:after="80"/>
      </w:pPr>
      <w:r>
        <w:t xml:space="preserve"/>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7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Verzió</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Dátum</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Szerző</w:t>
            </w:r>
          </w:p>
        </w:tc>
        <w:tc>
          <w:tcPr>
            <w:tcW w:type="dxa" w:w="41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Leírás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IT</w:t>
            </w:r>
          </w:p>
        </w:tc>
        <w:tc>
          <w:tcPr>
            <w:tcW w:type="dxa" w:w="4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Kezdeti HLD kiadás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2025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IT</w:t>
            </w:r>
          </w:p>
        </w:tc>
        <w:tc>
          <w:tcPr>
            <w:tcW w:type="dxa" w:w="41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Visio ábrák és költségbecslés hozzáadva</w:t>
            </w:r>
          </w:p>
        </w:tc>
      </w:tr>
    </w:tbl>
    <w:p>
      <w:pPr>
        <w:spacing w:before="0" w:after="80"/>
      </w:pPr>
      <w:r>
        <w:t xml:space="preserve"/>
      </w:r>
    </w:p>
    <w:p>
      <w:pPr>
        <w:spacing w:before="80" w:after="80"/>
        <w:jc w:val="both"/>
      </w:pPr>
      <w:r>
        <w:rPr>
          <w:rFonts w:ascii="Arial" w:cs="Arial" w:eastAsia="Arial" w:hAnsi="Arial"/>
          <w:sz w:val="22"/>
          <w:szCs w:val="22"/>
        </w:rPr>
        <w:t xml:space="preserve">Ez a dokumentum a Semmelweis Egyetem (SOTE) campus hálózatának fejlesztéséhez készült High Level Design (HLD) dokumentum. Célja, hogy az érintett műszaki és döntéshozó felek számára átfogó képet adjon a jelenlegi infrastruktúra állapotáról, a tervezett architektúráról, a migrációs stratégiáról és az előzetes költségbecslésről.</w:t>
      </w:r>
    </w:p>
    <w:p>
      <w:pPr>
        <w:spacing w:before="0" w:after="80"/>
      </w:pPr>
      <w:r>
        <w:t xml:space="preserve"/>
      </w:r>
    </w:p>
    <w:p>
      <w:r>
        <w:br w:type="page"/>
      </w:r>
    </w:p>
    <w:p>
      <w:pPr>
        <w:pStyle w:val="Heading1"/>
        <w:pBdr>
          <w:bottom w:val="single" w:color="2E75B6" w:sz="4" w:space="1"/>
        </w:pBdr>
        <w:spacing w:before="400" w:after="200"/>
      </w:pPr>
      <w:r>
        <w:rPr>
          <w:rFonts w:ascii="Arial" w:cs="Arial" w:eastAsia="Arial" w:hAnsi="Arial"/>
          <w:b/>
          <w:bCs/>
          <w:color w:val="1F4E79"/>
          <w:sz w:val="32"/>
          <w:szCs w:val="32"/>
        </w:rPr>
        <w:t xml:space="preserve">1  Bevezetés</w:t>
      </w:r>
    </w:p>
    <w:p>
      <w:pPr>
        <w:spacing w:before="80" w:after="80"/>
        <w:jc w:val="both"/>
      </w:pPr>
      <w:r>
        <w:rPr>
          <w:rFonts w:ascii="Arial" w:cs="Arial" w:eastAsia="Arial" w:hAnsi="Arial"/>
          <w:sz w:val="22"/>
          <w:szCs w:val="22"/>
        </w:rPr>
        <w:t xml:space="preserve">A Semmelweis Egyetem hálózati infrastruktúrájának fejlesztési programja egy korszerű, háromrétegű, csillagpontos hálózati architektúra kialakítását célozza. A projekt célja a meglévő, heterogén, nagyrészt L2-alapú hálózat felváltása egy skálázható, szegmentált és központilag menedzselhető megoldással.</w:t>
      </w:r>
    </w:p>
    <w:p>
      <w:pPr>
        <w:spacing w:before="80" w:after="80"/>
        <w:jc w:val="both"/>
      </w:pPr>
      <w:r>
        <w:rPr>
          <w:rFonts w:ascii="Arial" w:cs="Arial" w:eastAsia="Arial" w:hAnsi="Arial"/>
          <w:sz w:val="22"/>
          <w:szCs w:val="22"/>
        </w:rPr>
        <w:t xml:space="preserve">Két párhuzamos architektúrális opció kerül részletezésre: az SD-Access alapú megoldás Cisco Catalyst Center vezérlővel (A opció), illetve a hagyományos Routed Access architektúra Catalyst Center nélkül (B opció).</w:t>
      </w:r>
    </w:p>
    <w:p>
      <w:pPr>
        <w:spacing w:before="0" w:after="80"/>
      </w:pPr>
      <w:r>
        <w:t xml:space="preserve"/>
      </w:r>
    </w:p>
    <w:p>
      <w:pPr>
        <w:pStyle w:val="Heading2"/>
        <w:spacing w:before="300" w:after="140"/>
      </w:pPr>
      <w:r>
        <w:rPr>
          <w:rFonts w:ascii="Arial" w:cs="Arial" w:eastAsia="Arial" w:hAnsi="Arial"/>
          <w:b/>
          <w:bCs/>
          <w:color w:val="2E75B6"/>
          <w:sz w:val="26"/>
          <w:szCs w:val="26"/>
        </w:rPr>
        <w:t xml:space="preserve">1.1  Dokumentum hatóköre</w:t>
      </w:r>
    </w:p>
    <w:p>
      <w:pPr>
        <w:pStyle w:val="ListParagraph"/>
        <w:numPr>
          <w:ilvl w:val="0"/>
          <w:numId w:val="2"/>
        </w:numPr>
        <w:spacing w:before="60" w:after="60"/>
      </w:pPr>
      <w:r>
        <w:rPr>
          <w:rFonts w:ascii="Arial" w:cs="Arial" w:eastAsia="Arial" w:hAnsi="Arial"/>
          <w:sz w:val="22"/>
          <w:szCs w:val="22"/>
        </w:rPr>
        <w:t xml:space="preserve">A jelenlegi hálózati infrastruktúra állapota (As-Is) – Visio felmérési rajzokkal</w:t>
      </w:r>
    </w:p>
    <w:p>
      <w:pPr>
        <w:pStyle w:val="ListParagraph"/>
        <w:numPr>
          <w:ilvl w:val="0"/>
          <w:numId w:val="2"/>
        </w:numPr>
        <w:spacing w:before="60" w:after="60"/>
      </w:pPr>
      <w:r>
        <w:rPr>
          <w:rFonts w:ascii="Arial" w:cs="Arial" w:eastAsia="Arial" w:hAnsi="Arial"/>
          <w:sz w:val="22"/>
          <w:szCs w:val="22"/>
        </w:rPr>
        <w:t xml:space="preserve">Tervezett hálózati architektúra (To-Be) – A opció: SD-Access / Catalyst Center</w:t>
      </w:r>
    </w:p>
    <w:p>
      <w:pPr>
        <w:pStyle w:val="ListParagraph"/>
        <w:numPr>
          <w:ilvl w:val="0"/>
          <w:numId w:val="2"/>
        </w:numPr>
        <w:spacing w:before="60" w:after="60"/>
      </w:pPr>
      <w:r>
        <w:rPr>
          <w:rFonts w:ascii="Arial" w:cs="Arial" w:eastAsia="Arial" w:hAnsi="Arial"/>
          <w:sz w:val="22"/>
          <w:szCs w:val="22"/>
        </w:rPr>
        <w:t xml:space="preserve">Alternatív architektúra – B opció: Routed Access, Catalyst Center nélkül</w:t>
      </w:r>
    </w:p>
    <w:p>
      <w:pPr>
        <w:pStyle w:val="ListParagraph"/>
        <w:numPr>
          <w:ilvl w:val="0"/>
          <w:numId w:val="2"/>
        </w:numPr>
        <w:spacing w:before="60" w:after="60"/>
      </w:pPr>
      <w:r>
        <w:rPr>
          <w:rFonts w:ascii="Arial" w:cs="Arial" w:eastAsia="Arial" w:hAnsi="Arial"/>
          <w:sz w:val="22"/>
          <w:szCs w:val="22"/>
        </w:rPr>
        <w:t xml:space="preserve">Fizikai és logikai topológia, redundancia modellek</w:t>
      </w:r>
    </w:p>
    <w:p>
      <w:pPr>
        <w:pStyle w:val="ListParagraph"/>
        <w:numPr>
          <w:ilvl w:val="0"/>
          <w:numId w:val="2"/>
        </w:numPr>
        <w:spacing w:before="60" w:after="60"/>
      </w:pPr>
      <w:r>
        <w:rPr>
          <w:rFonts w:ascii="Arial" w:cs="Arial" w:eastAsia="Arial" w:hAnsi="Arial"/>
          <w:sz w:val="22"/>
          <w:szCs w:val="22"/>
        </w:rPr>
        <w:t xml:space="preserve">Szegmentáció: makro (VN/VRF) és mikro (SGT)</w:t>
      </w:r>
    </w:p>
    <w:p>
      <w:pPr>
        <w:pStyle w:val="ListParagraph"/>
        <w:numPr>
          <w:ilvl w:val="0"/>
          <w:numId w:val="2"/>
        </w:numPr>
        <w:spacing w:before="60" w:after="60"/>
      </w:pPr>
      <w:r>
        <w:rPr>
          <w:rFonts w:ascii="Arial" w:cs="Arial" w:eastAsia="Arial" w:hAnsi="Arial"/>
          <w:sz w:val="22"/>
          <w:szCs w:val="22"/>
        </w:rPr>
        <w:t xml:space="preserve">Routing, biztonsági integráció (ISE, tűzfal)</w:t>
      </w:r>
    </w:p>
    <w:p>
      <w:pPr>
        <w:pStyle w:val="ListParagraph"/>
        <w:numPr>
          <w:ilvl w:val="0"/>
          <w:numId w:val="2"/>
        </w:numPr>
        <w:spacing w:before="60" w:after="60"/>
      </w:pPr>
      <w:r>
        <w:rPr>
          <w:rFonts w:ascii="Arial" w:cs="Arial" w:eastAsia="Arial" w:hAnsi="Arial"/>
          <w:sz w:val="22"/>
          <w:szCs w:val="22"/>
        </w:rPr>
        <w:t xml:space="preserve">Optikai infrastruktúra OM4-re emelése</w:t>
      </w:r>
    </w:p>
    <w:p>
      <w:pPr>
        <w:pStyle w:val="ListParagraph"/>
        <w:numPr>
          <w:ilvl w:val="0"/>
          <w:numId w:val="2"/>
        </w:numPr>
        <w:spacing w:before="60" w:after="60"/>
      </w:pPr>
      <w:r>
        <w:rPr>
          <w:rFonts w:ascii="Arial" w:cs="Arial" w:eastAsia="Arial" w:hAnsi="Arial"/>
          <w:sz w:val="22"/>
          <w:szCs w:val="22"/>
        </w:rPr>
        <w:t xml:space="preserve">Migrációs stratégia és kockázatelemzés</w:t>
      </w:r>
    </w:p>
    <w:p>
      <w:pPr>
        <w:pStyle w:val="ListParagraph"/>
        <w:numPr>
          <w:ilvl w:val="0"/>
          <w:numId w:val="2"/>
        </w:numPr>
        <w:spacing w:before="60" w:after="60"/>
      </w:pPr>
      <w:r>
        <w:rPr>
          <w:rFonts w:ascii="Arial" w:cs="Arial" w:eastAsia="Arial" w:hAnsi="Arial"/>
          <w:sz w:val="22"/>
          <w:szCs w:val="22"/>
        </w:rPr>
        <w:t xml:space="preserve">Előzetes költségbecslés mindkét opcióra</w:t>
      </w:r>
    </w:p>
    <w:p>
      <w:pPr>
        <w:spacing w:before="0" w:after="80"/>
      </w:pPr>
      <w:r>
        <w:t xml:space="preserve"/>
      </w:r>
    </w:p>
    <w:p>
      <w:pPr>
        <w:pStyle w:val="Heading2"/>
        <w:spacing w:before="300" w:after="140"/>
      </w:pPr>
      <w:r>
        <w:rPr>
          <w:rFonts w:ascii="Arial" w:cs="Arial" w:eastAsia="Arial" w:hAnsi="Arial"/>
          <w:b/>
          <w:bCs/>
          <w:color w:val="2E75B6"/>
          <w:sz w:val="26"/>
          <w:szCs w:val="26"/>
        </w:rPr>
        <w:t xml:space="preserve">1.2  Rövidítések és fogalmak</w:t>
      </w:r>
    </w:p>
    <w:p>
      <w:pPr>
        <w:spacing w:before="0" w:after="80"/>
      </w:pPr>
      <w:r>
        <w:t xml:space="preserve"/>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2000"/>
        <w:gridCol w:w="737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Rövidítés</w:t>
            </w:r>
          </w:p>
        </w:tc>
        <w:tc>
          <w:tcPr>
            <w:tcW w:type="dxa" w:w="73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Leírás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BKT</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Belső Klinikai Tömb – elsődleges szerverterem/DC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KKT</w:t>
            </w:r>
          </w:p>
        </w:tc>
        <w:tc>
          <w:tcPr>
            <w:tcW w:type="dxa" w:w="7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Külső Klinikai Tömb – másodlagos szerverterem/DC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CC / DNA Center</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Catalyst Center (korábban Cisco DNA Center) – SDN vezérlő platform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SDA</w:t>
            </w:r>
          </w:p>
        </w:tc>
        <w:tc>
          <w:tcPr>
            <w:tcW w:type="dxa" w:w="7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Software Defined Access – Catalyst Center alapú fabric technológia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SGT</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Scalable Group Tag – mikro-szegmentációs cimke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VN</w:t>
            </w:r>
          </w:p>
        </w:tc>
        <w:tc>
          <w:tcPr>
            <w:tcW w:type="dxa" w:w="7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Virtual Network – makró-szegmentáció SDA-ban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VRF</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Virtual Routing and Forwarding – L3 virtuális routolási tábla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ISE</w:t>
            </w:r>
          </w:p>
        </w:tc>
        <w:tc>
          <w:tcPr>
            <w:tcW w:type="dxa" w:w="7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Identity Services Engine – AAA, NAC, policy 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OSPF</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Open Shortest Path First – link-state routing protokoll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BGP</w:t>
            </w:r>
          </w:p>
        </w:tc>
        <w:tc>
          <w:tcPr>
            <w:tcW w:type="dxa" w:w="7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Border Gateway Protocol – border routerek közötti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OOB</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Out-of-Band – sávon kívüli menedzsment hálózat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DOT1X</w:t>
            </w:r>
          </w:p>
        </w:tc>
        <w:tc>
          <w:tcPr>
            <w:tcW w:type="dxa" w:w="7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IEEE 802.1X – port-alapú hálózati hozzáférés-vezérlés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MAB</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MAC Authentication Bypass – nem 802.1X eszközök autentikációja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OTT</w:t>
            </w:r>
          </w:p>
        </w:tc>
        <w:tc>
          <w:tcPr>
            <w:tcW w:type="dxa" w:w="7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Over The Top – Wifi integráció meglévő L3 hálózaton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OM1/OM2/OM3/OM4</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Optikai szál minősítési osztályok (Optical Multimode 1-4)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w:t>
            </w:r>
          </w:p>
        </w:tc>
        <w:tc>
          <w:tcPr>
            <w:tcW w:type="dxa" w:w="7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Multi-Mode Fiber – többmódusú optikai szál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Single-Mode Fiber – egymódusú optikai szál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L2VPN</w:t>
            </w:r>
          </w:p>
        </w:tc>
        <w:tc>
          <w:tcPr>
            <w:tcW w:type="dxa" w:w="7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Layer 2 Virtual Private Network – L2 kiterjesztés WAN-on keresztül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HLD</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High Level Design – magas szintű tervezési dokumentum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LLD</w:t>
            </w:r>
          </w:p>
        </w:tc>
        <w:tc>
          <w:tcPr>
            <w:tcW w:type="dxa" w:w="7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Low Level Design – részletes, eszköz-szintű tervezési dokumentum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DNA Ess.</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DNA Essentials – alap szoftver licensz csomag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DNA Adv.</w:t>
            </w:r>
          </w:p>
        </w:tc>
        <w:tc>
          <w:tcPr>
            <w:tcW w:type="dxa" w:w="7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DNA Advantage – emelt szintű licensz (SD-Access, telemetria)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NW Adv.</w:t>
            </w:r>
          </w:p>
        </w:tc>
        <w:tc>
          <w:tcPr>
            <w:tcW w:type="dxa" w:w="7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Network Advantage – hagyományos (nem DNA) emelt licensz</w:t>
            </w:r>
          </w:p>
        </w:tc>
      </w:tr>
    </w:tbl>
    <w:p>
      <w:pPr>
        <w:spacing w:before="0" w:after="80"/>
      </w:pPr>
      <w:r>
        <w:t xml:space="preserve"/>
      </w:r>
    </w:p>
    <w:p>
      <w:r>
        <w:br w:type="page"/>
      </w:r>
    </w:p>
    <w:p>
      <w:pPr>
        <w:pStyle w:val="Heading1"/>
        <w:pBdr>
          <w:bottom w:val="single" w:color="2E75B6" w:sz="4" w:space="1"/>
        </w:pBdr>
        <w:spacing w:before="400" w:after="200"/>
      </w:pPr>
      <w:r>
        <w:rPr>
          <w:rFonts w:ascii="Arial" w:cs="Arial" w:eastAsia="Arial" w:hAnsi="Arial"/>
          <w:b/>
          <w:bCs/>
          <w:color w:val="1F4E79"/>
          <w:sz w:val="32"/>
          <w:szCs w:val="32"/>
        </w:rPr>
        <w:t xml:space="preserve">2  A jelenlegi hálózat (As-Is)</w:t>
      </w:r>
    </w:p>
    <w:p>
      <w:pPr>
        <w:pStyle w:val="Heading2"/>
        <w:spacing w:before="300" w:after="140"/>
      </w:pPr>
      <w:r>
        <w:rPr>
          <w:rFonts w:ascii="Arial" w:cs="Arial" w:eastAsia="Arial" w:hAnsi="Arial"/>
          <w:b/>
          <w:bCs/>
          <w:color w:val="2E75B6"/>
          <w:sz w:val="26"/>
          <w:szCs w:val="26"/>
        </w:rPr>
        <w:t xml:space="preserve">2.1  Általános hálózati kép</w:t>
      </w:r>
    </w:p>
    <w:p>
      <w:pPr>
        <w:spacing w:before="80" w:after="80"/>
        <w:jc w:val="both"/>
      </w:pPr>
      <w:r>
        <w:rPr>
          <w:rFonts w:ascii="Arial" w:cs="Arial" w:eastAsia="Arial" w:hAnsi="Arial"/>
          <w:sz w:val="22"/>
          <w:szCs w:val="22"/>
        </w:rPr>
        <w:t xml:space="preserve">Az alábbi ábra a SOTE teljes hálózatának magas szintű áttekintését mutatja, beleértve a KKT és BKT szervertermeket, a telephelyek csatlakozási módját, az ISE, WLC és Catalyst Center elhelyezkedését, valamint a zónák (Szerver, Management, OOB, Campus) elkülönítését.</w:t>
      </w:r>
    </w:p>
    <w:p>
      <w:pPr>
        <w:spacing w:before="0" w:after="80"/>
      </w:pPr>
      <w:r>
        <w:t xml:space="preserve"/>
      </w:r>
    </w:p>
    <w:p>
      <w:pPr>
        <w:jc w:val="center"/>
      </w:pPr>
      <w:r>
        <w:drawing>
          <wp:inline distT="0" distB="0" distL="0" distR="0">
            <wp:extent cx="6372225"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2225" cy="4505325"/>
                    </a:xfrm>
                    <a:prstGeom prst="rect">
                      <a:avLst/>
                    </a:prstGeom>
                  </pic:spPr>
                </pic:pic>
              </a:graphicData>
            </a:graphic>
          </wp:inline>
        </w:drawing>
      </w:r>
    </w:p>
    <w:p>
      <w:pPr>
        <w:spacing w:before="80" w:after="200"/>
        <w:jc w:val="center"/>
      </w:pPr>
      <w:r>
        <w:rPr>
          <w:rFonts w:ascii="Arial" w:cs="Arial" w:eastAsia="Arial" w:hAnsi="Arial"/>
          <w:b/>
          <w:bCs/>
          <w:color w:val="404040"/>
          <w:sz w:val="20"/>
          <w:szCs w:val="20"/>
        </w:rPr>
        <w:t xml:space="preserve">1. ábra – </w:t>
      </w:r>
      <w:r>
        <w:rPr>
          <w:rFonts w:ascii="Arial" w:cs="Arial" w:eastAsia="Arial" w:hAnsi="Arial"/>
          <w:i/>
          <w:iCs/>
          <w:color w:val="404040"/>
          <w:sz w:val="20"/>
          <w:szCs w:val="20"/>
        </w:rPr>
        <w:t xml:space="preserve">SOTE általános hálózati kép – KKT és BKT szervertermek, zónák, csatlakozási módok</w:t>
      </w:r>
    </w:p>
    <w:p>
      <w:pPr>
        <w:pStyle w:val="Heading2"/>
        <w:spacing w:before="300" w:after="140"/>
      </w:pPr>
      <w:r>
        <w:rPr>
          <w:rFonts w:ascii="Arial" w:cs="Arial" w:eastAsia="Arial" w:hAnsi="Arial"/>
          <w:b/>
          <w:bCs/>
          <w:color w:val="2E75B6"/>
          <w:sz w:val="26"/>
          <w:szCs w:val="26"/>
        </w:rPr>
        <w:t xml:space="preserve">2.2  Telephelyi struktúra és optikai összeköttetések</w:t>
      </w:r>
    </w:p>
    <w:p>
      <w:pPr>
        <w:spacing w:before="80" w:after="80"/>
        <w:jc w:val="both"/>
      </w:pPr>
      <w:r>
        <w:rPr>
          <w:rFonts w:ascii="Arial" w:cs="Arial" w:eastAsia="Arial" w:hAnsi="Arial"/>
          <w:sz w:val="22"/>
          <w:szCs w:val="22"/>
        </w:rPr>
        <w:t xml:space="preserve">A SOTE hálózata két szervertermen (adatközponton) alapul: a KKT (Külső Klinikai Tömb) és a BKT (Belső Klinikai Tömb) géptermeiben. Ezekhez az adatközpontokhoz közvetlen optikával vagy L2VPN kapcsolaton keresztül csatlakoznak az egyes telephelyek. A különböző telephelyeken eltérő minőségű optikai szál van (MMF 62,5/125 = OM1, MMF 50/125 = OM2/OM3, SMF 9/125).</w:t>
      </w:r>
    </w:p>
    <w:p>
      <w:pPr>
        <w:spacing w:before="0" w:after="80"/>
      </w:pPr>
      <w:r>
        <w:t xml:space="preserve"/>
      </w:r>
    </w:p>
    <w:p>
      <w:pPr>
        <w:jc w:val="center"/>
      </w:pPr>
      <w:r>
        <w:drawing>
          <wp:inline distT="0" distB="0" distL="0" distR="0">
            <wp:extent cx="6372225"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72225" cy="4505325"/>
                    </a:xfrm>
                    <a:prstGeom prst="rect">
                      <a:avLst/>
                    </a:prstGeom>
                  </pic:spPr>
                </pic:pic>
              </a:graphicData>
            </a:graphic>
          </wp:inline>
        </w:drawing>
      </w:r>
    </w:p>
    <w:p>
      <w:pPr>
        <w:spacing w:before="80" w:after="200"/>
        <w:jc w:val="center"/>
      </w:pPr>
      <w:r>
        <w:rPr>
          <w:rFonts w:ascii="Arial" w:cs="Arial" w:eastAsia="Arial" w:hAnsi="Arial"/>
          <w:b/>
          <w:bCs/>
          <w:color w:val="404040"/>
          <w:sz w:val="20"/>
          <w:szCs w:val="20"/>
        </w:rPr>
        <w:t xml:space="preserve">2. ábra – </w:t>
      </w:r>
      <w:r>
        <w:rPr>
          <w:rFonts w:ascii="Arial" w:cs="Arial" w:eastAsia="Arial" w:hAnsi="Arial"/>
          <w:i/>
          <w:iCs/>
          <w:color w:val="404040"/>
          <w:sz w:val="20"/>
          <w:szCs w:val="20"/>
        </w:rPr>
        <w:t xml:space="preserve">SOTE jelenlegi optikai összeköttetések – telephelyek és épületek, szálszámok és típusok</w:t>
      </w:r>
    </w:p>
    <w:p>
      <w:pPr>
        <w:spacing w:before="0" w:after="80"/>
      </w:pPr>
      <w:r>
        <w:t xml:space="preserve"/>
      </w:r>
    </w:p>
    <w:p>
      <w:pPr>
        <w:spacing w:before="80" w:after="80"/>
        <w:jc w:val="both"/>
      </w:pPr>
      <w:r>
        <w:rPr>
          <w:rFonts w:ascii="Arial" w:cs="Arial" w:eastAsia="Arial" w:hAnsi="Arial"/>
          <w:sz w:val="22"/>
          <w:szCs w:val="22"/>
        </w:rPr>
        <w:t xml:space="preserve">Az alábbi táblázat a felmérés alapján azonosított főbb telephelyeket tartalmazza:</w:t>
      </w:r>
    </w:p>
    <w:p>
      <w:pPr>
        <w:spacing w:before="0" w:after="80"/>
      </w:pPr>
      <w:r>
        <w:t xml:space="preserve"/>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297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Telephely / Épület</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Rendezők (db)</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Access switch (db)</w:t>
            </w:r>
          </w:p>
        </w:tc>
        <w:tc>
          <w:tcPr>
            <w:tcW w:type="dxa" w:w="29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Optika típusa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KKT Gépterem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BKT Gépterem (Core)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Nagyvárad tér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40</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KBE épület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45</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Merényi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34</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B52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32</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 / MMF 50/125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Érsebészet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26</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62,5/125 (OM1) ⚠</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 Gyermekklinika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26</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(ismeretlen)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BC22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24</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Rókus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23</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ETK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23</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FOK OC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19</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Tömő utca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19</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50/125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ORFI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16</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 / MMF 62,5/125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 Belgyógyászat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15</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50/125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 Női klinika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15</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50/125 / SMF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II. Női Klinika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13</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Transzplantáció</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13</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Neurológia/Pszichi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11</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 MMF 50/125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Balassa Kollégium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11</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62,5/125 (OM1)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PAK-KÚT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11</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50/125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Rektori Hivatal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62,5/125 (OM1)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Radiológia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II. Pathológia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Bőrgyógyászat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II. Gyermek Klinika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14</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 MMF (vegyes)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Fül-Orr-Gége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Urológia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50/125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II Szemészet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62,5/125 (OM1) ⚠</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II. Belgyógyászat 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62,5/125 (OM1)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II. Belgyógyászat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50/125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Könyvtár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KKT Sebészet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17</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EMK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Kazán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Logisztika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Mosoda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S1 épület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50/125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Szájsebészet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ETK / Anatomia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62,5/125 (OM1)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Pathológia alagsor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t>
            </w:r>
          </w:p>
        </w:tc>
        <w:tc>
          <w:tcPr>
            <w:tcW w:type="dxa" w:w="29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62,5/125 (OM1) ⚠</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ÖSSZESEN (becsült)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~330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~780</w:t>
            </w:r>
          </w:p>
        </w:tc>
        <w:tc>
          <w:tcPr>
            <w:tcW w:type="dxa" w:w="29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t>
            </w:r>
          </w:p>
        </w:tc>
      </w:tr>
    </w:tbl>
    <w:p>
      <w:pPr>
        <w:spacing w:before="0" w:after="80"/>
      </w:pPr>
      <w:r>
        <w:t xml:space="preserve"/>
      </w:r>
    </w:p>
    <w:p>
      <w:pPr>
        <w:spacing w:before="60" w:after="60"/>
        <w:ind w:left="360"/>
      </w:pPr>
      <w:r>
        <w:rPr>
          <w:rFonts w:ascii="Arial" w:cs="Arial" w:eastAsia="Arial" w:hAnsi="Arial"/>
          <w:b/>
          <w:bCs/>
          <w:i/>
          <w:iCs/>
          <w:color w:val="595959"/>
          <w:sz w:val="20"/>
          <w:szCs w:val="20"/>
        </w:rPr>
        <w:t xml:space="preserve">Megjegyzés: </w:t>
      </w:r>
      <w:r>
        <w:rPr>
          <w:rFonts w:ascii="Arial" w:cs="Arial" w:eastAsia="Arial" w:hAnsi="Arial"/>
          <w:i/>
          <w:iCs/>
          <w:color w:val="595959"/>
          <w:sz w:val="20"/>
          <w:szCs w:val="20"/>
        </w:rPr>
        <w:t xml:space="preserve">A ⚠ jelzés OM1 (MMF 62,5/125) optikai összeköttetést jelöl, amelyet OM4-re kell cserélni. A pontos szálpár-számok és útvonalak az optikai felmérés alapján az LLD-be kerülnek.</w:t>
      </w:r>
    </w:p>
    <w:p>
      <w:pPr>
        <w:pStyle w:val="Heading2"/>
        <w:spacing w:before="300" w:after="140"/>
      </w:pPr>
      <w:r>
        <w:rPr>
          <w:rFonts w:ascii="Arial" w:cs="Arial" w:eastAsia="Arial" w:hAnsi="Arial"/>
          <w:b/>
          <w:bCs/>
          <w:color w:val="2E75B6"/>
          <w:sz w:val="26"/>
          <w:szCs w:val="26"/>
        </w:rPr>
        <w:t xml:space="preserve">2.3  Jelenlegi core hálózat</w:t>
      </w:r>
    </w:p>
    <w:p>
      <w:pPr>
        <w:spacing w:before="80" w:after="80"/>
        <w:jc w:val="both"/>
      </w:pPr>
      <w:r>
        <w:rPr>
          <w:rFonts w:ascii="Arial" w:cs="Arial" w:eastAsia="Arial" w:hAnsi="Arial"/>
          <w:sz w:val="22"/>
          <w:szCs w:val="22"/>
        </w:rPr>
        <w:t xml:space="preserve">Az alábbi ábra a jelenlegi core eszközök kapcsolatrendszerét mutatja, beleértve a Catalyst 6500 core switcheket, Nexus eszközöket, ASR9000 routereket, Fortigate tűzfalat, WLC-ket és ISE-t.</w:t>
      </w:r>
    </w:p>
    <w:p>
      <w:pPr>
        <w:spacing w:before="0" w:after="80"/>
      </w:pPr>
      <w:r>
        <w:t xml:space="preserve"/>
      </w:r>
    </w:p>
    <w:p>
      <w:pPr>
        <w:jc w:val="center"/>
      </w:pPr>
      <w:r>
        <w:drawing>
          <wp:inline distT="0" distB="0" distL="0" distR="0">
            <wp:extent cx="6372225"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72225" cy="4505325"/>
                    </a:xfrm>
                    <a:prstGeom prst="rect">
                      <a:avLst/>
                    </a:prstGeom>
                  </pic:spPr>
                </pic:pic>
              </a:graphicData>
            </a:graphic>
          </wp:inline>
        </w:drawing>
      </w:r>
    </w:p>
    <w:p>
      <w:pPr>
        <w:spacing w:before="80" w:after="200"/>
        <w:jc w:val="center"/>
      </w:pPr>
      <w:r>
        <w:rPr>
          <w:rFonts w:ascii="Arial" w:cs="Arial" w:eastAsia="Arial" w:hAnsi="Arial"/>
          <w:b/>
          <w:bCs/>
          <w:color w:val="404040"/>
          <w:sz w:val="20"/>
          <w:szCs w:val="20"/>
        </w:rPr>
        <w:t xml:space="preserve">3. ábra – </w:t>
      </w:r>
      <w:r>
        <w:rPr>
          <w:rFonts w:ascii="Arial" w:cs="Arial" w:eastAsia="Arial" w:hAnsi="Arial"/>
          <w:i/>
          <w:iCs/>
          <w:color w:val="404040"/>
          <w:sz w:val="20"/>
          <w:szCs w:val="20"/>
        </w:rPr>
        <w:t xml:space="preserve">Jelenlegi core hálózat – Catalyst 6500, Nexus, ASR9000, Fortigate eszközök kapcsolatrendszere</w:t>
      </w:r>
    </w:p>
    <w:p>
      <w:pPr>
        <w:spacing w:before="0" w:after="80"/>
      </w:pPr>
      <w:r>
        <w:t xml:space="preserve"/>
      </w:r>
    </w:p>
    <w:p>
      <w:pPr>
        <w:spacing w:before="80" w:after="80"/>
        <w:jc w:val="both"/>
      </w:pPr>
      <w:r>
        <w:rPr>
          <w:rFonts w:ascii="Arial" w:cs="Arial" w:eastAsia="Arial" w:hAnsi="Arial"/>
          <w:sz w:val="22"/>
          <w:szCs w:val="22"/>
        </w:rPr>
        <w:t xml:space="preserve">A jelenlegi core hálózat főbb elemei:</w:t>
      </w:r>
    </w:p>
    <w:p>
      <w:pPr>
        <w:pStyle w:val="ListParagraph"/>
        <w:numPr>
          <w:ilvl w:val="0"/>
          <w:numId w:val="2"/>
        </w:numPr>
        <w:spacing w:before="60" w:after="60"/>
      </w:pPr>
      <w:r>
        <w:rPr>
          <w:rFonts w:ascii="Arial" w:cs="Arial" w:eastAsia="Arial" w:hAnsi="Arial"/>
          <w:sz w:val="22"/>
          <w:szCs w:val="22"/>
        </w:rPr>
        <w:t xml:space="preserve">Core switchek: Cisco Catalyst 6500 – KKT-S1, KKT-S2, KKT-S3 (KKT), BKT-S1 (BKT)</w:t>
      </w:r>
    </w:p>
    <w:p>
      <w:pPr>
        <w:pStyle w:val="ListParagraph"/>
        <w:numPr>
          <w:ilvl w:val="0"/>
          <w:numId w:val="2"/>
        </w:numPr>
        <w:spacing w:before="60" w:after="60"/>
      </w:pPr>
      <w:r>
        <w:rPr>
          <w:rFonts w:ascii="Arial" w:cs="Arial" w:eastAsia="Arial" w:hAnsi="Arial"/>
          <w:sz w:val="22"/>
          <w:szCs w:val="22"/>
        </w:rPr>
        <w:t xml:space="preserve">Aggregációs/BGP eszközök: KKT-Q1, KKT-Q2, BKT-Q1</w:t>
      </w:r>
    </w:p>
    <w:p>
      <w:pPr>
        <w:pStyle w:val="ListParagraph"/>
        <w:numPr>
          <w:ilvl w:val="0"/>
          <w:numId w:val="2"/>
        </w:numPr>
        <w:spacing w:before="60" w:after="60"/>
      </w:pPr>
      <w:r>
        <w:rPr>
          <w:rFonts w:ascii="Arial" w:cs="Arial" w:eastAsia="Arial" w:hAnsi="Arial"/>
          <w:sz w:val="22"/>
          <w:szCs w:val="22"/>
        </w:rPr>
        <w:t xml:space="preserve">DC hálózat: Nexus switchek – adatközponti forgalom kezelése</w:t>
      </w:r>
    </w:p>
    <w:p>
      <w:pPr>
        <w:pStyle w:val="ListParagraph"/>
        <w:numPr>
          <w:ilvl w:val="0"/>
          <w:numId w:val="2"/>
        </w:numPr>
        <w:spacing w:before="60" w:after="60"/>
      </w:pPr>
      <w:r>
        <w:rPr>
          <w:rFonts w:ascii="Arial" w:cs="Arial" w:eastAsia="Arial" w:hAnsi="Arial"/>
          <w:sz w:val="22"/>
          <w:szCs w:val="22"/>
        </w:rPr>
        <w:t xml:space="preserve">Internet edge: ASR9000 routerek – HBONE ASR9k és SOTE-TORONY ASR9k</w:t>
      </w:r>
    </w:p>
    <w:p>
      <w:pPr>
        <w:pStyle w:val="ListParagraph"/>
        <w:numPr>
          <w:ilvl w:val="0"/>
          <w:numId w:val="2"/>
        </w:numPr>
        <w:spacing w:before="60" w:after="60"/>
      </w:pPr>
      <w:r>
        <w:rPr>
          <w:rFonts w:ascii="Arial" w:cs="Arial" w:eastAsia="Arial" w:hAnsi="Arial"/>
          <w:sz w:val="22"/>
          <w:szCs w:val="22"/>
        </w:rPr>
        <w:t xml:space="preserve">Tűzfal: Fortigate – KKT-ban elhelyezve</w:t>
      </w:r>
    </w:p>
    <w:p>
      <w:pPr>
        <w:pStyle w:val="ListParagraph"/>
        <w:numPr>
          <w:ilvl w:val="0"/>
          <w:numId w:val="2"/>
        </w:numPr>
        <w:spacing w:before="60" w:after="60"/>
      </w:pPr>
      <w:r>
        <w:rPr>
          <w:rFonts w:ascii="Arial" w:cs="Arial" w:eastAsia="Arial" w:hAnsi="Arial"/>
          <w:sz w:val="22"/>
          <w:szCs w:val="22"/>
        </w:rPr>
        <w:t xml:space="preserve">Wireless LAN Controller: Cisco WLC 5520 (aktív), Cisco 9800 (WLC-PROD2)</w:t>
      </w:r>
    </w:p>
    <w:p>
      <w:pPr>
        <w:pStyle w:val="ListParagraph"/>
        <w:numPr>
          <w:ilvl w:val="0"/>
          <w:numId w:val="2"/>
        </w:numPr>
        <w:spacing w:before="60" w:after="60"/>
      </w:pPr>
      <w:r>
        <w:rPr>
          <w:rFonts w:ascii="Arial" w:cs="Arial" w:eastAsia="Arial" w:hAnsi="Arial"/>
          <w:sz w:val="22"/>
          <w:szCs w:val="22"/>
        </w:rPr>
        <w:t xml:space="preserve">AAA / NAC: Cisco ISE – virtuális, meglévő BTIK3/4 és KTIK4 környezetben</w:t>
      </w:r>
    </w:p>
    <w:p>
      <w:pPr>
        <w:pStyle w:val="ListParagraph"/>
        <w:numPr>
          <w:ilvl w:val="0"/>
          <w:numId w:val="2"/>
        </w:numPr>
        <w:spacing w:before="60" w:after="60"/>
      </w:pPr>
      <w:r>
        <w:rPr>
          <w:rFonts w:ascii="Arial" w:cs="Arial" w:eastAsia="Arial" w:hAnsi="Arial"/>
          <w:sz w:val="22"/>
          <w:szCs w:val="22"/>
        </w:rPr>
        <w:t xml:space="preserve">VPN gateway: AS5350 VGW</w:t>
      </w:r>
    </w:p>
    <w:p>
      <w:pPr>
        <w:pStyle w:val="ListParagraph"/>
        <w:numPr>
          <w:ilvl w:val="0"/>
          <w:numId w:val="2"/>
        </w:numPr>
        <w:spacing w:before="60" w:after="60"/>
      </w:pPr>
      <w:r>
        <w:rPr>
          <w:rFonts w:ascii="Arial" w:cs="Arial" w:eastAsia="Arial" w:hAnsi="Arial"/>
          <w:sz w:val="22"/>
          <w:szCs w:val="22"/>
        </w:rPr>
        <w:t xml:space="preserve">Management: SW1-MGMT, SW2-MGMT, St-mgmt3</w:t>
      </w:r>
    </w:p>
    <w:p>
      <w:pPr>
        <w:spacing w:before="0" w:after="80"/>
      </w:pPr>
      <w:r>
        <w:t xml:space="preserve"/>
      </w:r>
    </w:p>
    <w:p>
      <w:pPr>
        <w:pStyle w:val="Heading2"/>
        <w:spacing w:before="300" w:after="140"/>
      </w:pPr>
      <w:r>
        <w:rPr>
          <w:rFonts w:ascii="Arial" w:cs="Arial" w:eastAsia="Arial" w:hAnsi="Arial"/>
          <w:b/>
          <w:bCs/>
          <w:color w:val="2E75B6"/>
          <w:sz w:val="26"/>
          <w:szCs w:val="26"/>
        </w:rPr>
        <w:t xml:space="preserve">2.4  Disztribúciós és access réteg</w:t>
      </w:r>
    </w:p>
    <w:p>
      <w:pPr>
        <w:spacing w:before="80" w:after="80"/>
        <w:jc w:val="both"/>
      </w:pPr>
      <w:r>
        <w:rPr>
          <w:rFonts w:ascii="Arial" w:cs="Arial" w:eastAsia="Arial" w:hAnsi="Arial"/>
          <w:sz w:val="22"/>
          <w:szCs w:val="22"/>
        </w:rPr>
        <w:t xml:space="preserve">A jelenlegi hálózatban nincs szeparált, dedikált disztribúciós réteg. Egységes, lapos L2 hálózat jellemzi az access és az aggregációs szintet. Az access switchek Cisco Catalyst 9200 és 9200L sorozatból állnak, jelenlegi licenszkiosztásuk DNS Essentials szintű.</w:t>
      </w:r>
    </w:p>
    <w:p>
      <w:pPr>
        <w:spacing w:before="60" w:after="60"/>
        <w:ind w:left="360"/>
      </w:pPr>
      <w:r>
        <w:rPr>
          <w:rFonts w:ascii="Arial" w:cs="Arial" w:eastAsia="Arial" w:hAnsi="Arial"/>
          <w:b/>
          <w:bCs/>
          <w:i/>
          <w:iCs/>
          <w:color w:val="595959"/>
          <w:sz w:val="20"/>
          <w:szCs w:val="20"/>
        </w:rPr>
        <w:t xml:space="preserve">Megjegyzés: </w:t>
      </w:r>
      <w:r>
        <w:rPr>
          <w:rFonts w:ascii="Arial" w:cs="Arial" w:eastAsia="Arial" w:hAnsi="Arial"/>
          <w:i/>
          <w:iCs/>
          <w:color w:val="595959"/>
          <w:sz w:val="20"/>
          <w:szCs w:val="20"/>
        </w:rPr>
        <w:t xml:space="preserve">A részletes épületi topológiák az LLD dokumentumban kerülnek bemutatásra.</w:t>
      </w:r>
    </w:p>
    <w:p>
      <w:pPr>
        <w:spacing w:before="0" w:after="80"/>
      </w:pPr>
      <w:r>
        <w:t xml:space="preserve"/>
      </w:r>
    </w:p>
    <w:p>
      <w:r>
        <w:br w:type="page"/>
      </w:r>
    </w:p>
    <w:p>
      <w:pPr>
        <w:pStyle w:val="Heading1"/>
        <w:pBdr>
          <w:bottom w:val="single" w:color="2E75B6" w:sz="4" w:space="1"/>
        </w:pBdr>
        <w:spacing w:before="400" w:after="200"/>
      </w:pPr>
      <w:r>
        <w:rPr>
          <w:rFonts w:ascii="Arial" w:cs="Arial" w:eastAsia="Arial" w:hAnsi="Arial"/>
          <w:b/>
          <w:bCs/>
          <w:color w:val="1F4E79"/>
          <w:sz w:val="32"/>
          <w:szCs w:val="32"/>
        </w:rPr>
        <w:t xml:space="preserve">3  Optikai infrastruktúra – OM4 szabványra emelés</w:t>
      </w:r>
    </w:p>
    <w:p>
      <w:pPr>
        <w:pStyle w:val="Heading2"/>
        <w:spacing w:before="300" w:after="140"/>
      </w:pPr>
      <w:r>
        <w:rPr>
          <w:rFonts w:ascii="Arial" w:cs="Arial" w:eastAsia="Arial" w:hAnsi="Arial"/>
          <w:b/>
          <w:bCs/>
          <w:color w:val="2E75B6"/>
          <w:sz w:val="26"/>
          <w:szCs w:val="26"/>
        </w:rPr>
        <w:t xml:space="preserve">3.1  Optikai szál kategóriák</w:t>
      </w:r>
    </w:p>
    <w:p>
      <w:pPr>
        <w:spacing w:before="80" w:after="80"/>
        <w:jc w:val="both"/>
      </w:pPr>
      <w:r>
        <w:rPr>
          <w:rFonts w:ascii="Arial" w:cs="Arial" w:eastAsia="Arial" w:hAnsi="Arial"/>
          <w:sz w:val="22"/>
          <w:szCs w:val="22"/>
        </w:rPr>
        <w:t xml:space="preserve">A SOTE campus hálózatában jelenleg háromféle optikai szál típus van jelen:</w:t>
      </w:r>
    </w:p>
    <w:p>
      <w:pPr>
        <w:spacing w:before="0" w:after="80"/>
      </w:pPr>
      <w:r>
        <w:t xml:space="preserve"/>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1800"/>
        <w:gridCol w:w="187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Típus</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Szabvány</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Max. sávszélesség (10G)</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Állapot</w:t>
            </w:r>
          </w:p>
        </w:tc>
        <w:tc>
          <w:tcPr>
            <w:tcW w:type="dxa" w:w="18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Teendő</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62,5/125 µm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33 m @ 10G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Nem megfelelő ⚠</w:t>
            </w:r>
          </w:p>
        </w:tc>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Kötelező csere OM4-re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50/125 µm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OM2/OM3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300 m / 300 m @ 10G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Ellenőrzendő ⚠</w:t>
            </w:r>
          </w:p>
        </w:tc>
        <w:tc>
          <w:tcPr>
            <w:tcW w:type="dxa" w:w="18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Csere szükséges, ha OM2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MMF 50/125 µm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400 m @ 10G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Megfelelő ✓</w:t>
            </w:r>
          </w:p>
        </w:tc>
        <w:tc>
          <w:tcPr>
            <w:tcW w:type="dxa" w:w="18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Megtartható</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SMF 9/125 µm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OS2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 km @ 10G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Megfelelő ✓</w:t>
            </w:r>
          </w:p>
        </w:tc>
        <w:tc>
          <w:tcPr>
            <w:tcW w:type="dxa" w:w="18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Megtartható</w:t>
            </w:r>
          </w:p>
        </w:tc>
      </w:tr>
    </w:tbl>
    <w:p>
      <w:pPr>
        <w:spacing w:before="0" w:after="80"/>
      </w:pPr>
      <w:r>
        <w:t xml:space="preserve"/>
      </w:r>
    </w:p>
    <w:p>
      <w:pPr>
        <w:spacing w:before="80" w:after="80"/>
        <w:jc w:val="both"/>
      </w:pPr>
      <w:r>
        <w:rPr>
          <w:rFonts w:ascii="Arial" w:cs="Arial" w:eastAsia="Arial" w:hAnsi="Arial"/>
          <w:sz w:val="22"/>
          <w:szCs w:val="22"/>
        </w:rPr>
        <w:t xml:space="preserve">Az OM4 minimum követelmény indoka: a tervezett 25G és 40G sebességű kapcsolatok (core–interconnect, interconnect–disztribúció) csak OM3/OM4 kábelen garantáltan működnek az épületen belüli tipikus távolságokon. Az OM1-es kábel 10G esetén is csak 33 méteres hatótávot biztosít, ami a SOTE épületek belső távolságainál kritikus korlát.</w:t>
      </w:r>
    </w:p>
    <w:p>
      <w:pPr>
        <w:pStyle w:val="Heading2"/>
        <w:spacing w:before="300" w:after="140"/>
      </w:pPr>
      <w:r>
        <w:rPr>
          <w:rFonts w:ascii="Arial" w:cs="Arial" w:eastAsia="Arial" w:hAnsi="Arial"/>
          <w:b/>
          <w:bCs/>
          <w:color w:val="2E75B6"/>
          <w:sz w:val="26"/>
          <w:szCs w:val="26"/>
        </w:rPr>
        <w:t xml:space="preserve">3.2  Cserére szoruló összeköttetések – összesítés</w:t>
      </w:r>
    </w:p>
    <w:p>
      <w:pPr>
        <w:spacing w:before="80" w:after="80"/>
        <w:jc w:val="both"/>
      </w:pPr>
      <w:r>
        <w:rPr>
          <w:rFonts w:ascii="Arial" w:cs="Arial" w:eastAsia="Arial" w:hAnsi="Arial"/>
          <w:sz w:val="22"/>
          <w:szCs w:val="22"/>
        </w:rPr>
        <w:t xml:space="preserve">A Visio felmérési rajz alapján az alábbi telephelyeken/kapcsolatokon van MMF 62,5/125 (OM1) kábel, amelyet mindenképpen OM4-re kell cserélni:</w:t>
      </w:r>
    </w:p>
    <w:p>
      <w:pPr>
        <w:spacing w:before="0" w:after="80"/>
      </w:pPr>
      <w:r>
        <w:t xml:space="preserve"/>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77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Helyszín / Kapcsolat</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Azonosított szálpárok</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Becsült kábelhossz</w:t>
            </w:r>
          </w:p>
        </w:tc>
        <w:tc>
          <w:tcPr>
            <w:tcW w:type="dxa" w:w="27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Megjegyzés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Érsebészet – KKT/BKT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 szálpár (16 szál)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~500 m</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OM1, épületek közötti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ORFI – KKT/BKT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 szálpár + vegyes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~800 m</w:t>
            </w:r>
          </w:p>
        </w:tc>
        <w:tc>
          <w:tcPr>
            <w:tcW w:type="dxa" w:w="27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Részben OM1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Balassa Kollégium – 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 szálpár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~300 m</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Rektori Hivatal – Core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szálpár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~200 m</w:t>
            </w:r>
          </w:p>
        </w:tc>
        <w:tc>
          <w:tcPr>
            <w:tcW w:type="dxa" w:w="27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II Szemészet – 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vegyes MMF 62,5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~300 m</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II. Belgyógyászat A – Core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 szálpár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~400 m</w:t>
            </w:r>
          </w:p>
        </w:tc>
        <w:tc>
          <w:tcPr>
            <w:tcW w:type="dxa" w:w="27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Anatomia – 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szálpár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~600 m</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Pathológia alagsor – Core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OM1 összekötők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~200 m</w:t>
            </w:r>
          </w:p>
        </w:tc>
        <w:tc>
          <w:tcPr>
            <w:tcW w:type="dxa" w:w="27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OM1, belső</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 Gyermekklinika (belső)</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szálpár MMF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~400 m</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Ismeretlen OM, ellenőrzés szükséges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II. Gyermek Klinika – Core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4–8 szálpár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~400 m</w:t>
            </w:r>
          </w:p>
        </w:tc>
        <w:tc>
          <w:tcPr>
            <w:tcW w:type="dxa" w:w="27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Részben OM1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Tömő utca (belső épületek)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12x MMF 50/125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~500 m</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OM2/OM3 feltételezve, csere szükséges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Egyéb MMF 50/125 ismeretlen OM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~96 szálpár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~3000 m</w:t>
            </w:r>
          </w:p>
        </w:tc>
        <w:tc>
          <w:tcPr>
            <w:tcW w:type="dxa" w:w="27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Helyszíni felmérés után pontosítandó</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ÖSSZESEN (becsült)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~200–220 szálpár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~7,5 km</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Helyszíni mérés pontosítja</w:t>
            </w:r>
          </w:p>
        </w:tc>
      </w:tr>
    </w:tbl>
    <w:p>
      <w:pPr>
        <w:spacing w:before="0" w:after="80"/>
      </w:pPr>
      <w:r>
        <w:t xml:space="preserve"/>
      </w:r>
    </w:p>
    <w:p>
      <w:pPr>
        <w:spacing w:before="60" w:after="60"/>
        <w:ind w:left="360"/>
      </w:pPr>
      <w:r>
        <w:rPr>
          <w:rFonts w:ascii="Arial" w:cs="Arial" w:eastAsia="Arial" w:hAnsi="Arial"/>
          <w:b/>
          <w:bCs/>
          <w:i/>
          <w:iCs/>
          <w:color w:val="595959"/>
          <w:sz w:val="20"/>
          <w:szCs w:val="20"/>
        </w:rPr>
        <w:t xml:space="preserve">Megjegyzés: </w:t>
      </w:r>
      <w:r>
        <w:rPr>
          <w:rFonts w:ascii="Arial" w:cs="Arial" w:eastAsia="Arial" w:hAnsi="Arial"/>
          <w:i/>
          <w:iCs/>
          <w:color w:val="595959"/>
          <w:sz w:val="20"/>
          <w:szCs w:val="20"/>
        </w:rPr>
        <w:t xml:space="preserve">A fenti adatok a Visio rajzból kiolvasott szálszámok alapján becsültek. A pontos mennyiség az optikai felmérés elvégzése után határozható meg. A csere költségbecslése a 8. fejezet táblázatában szerepel.</w:t>
      </w:r>
    </w:p>
    <w:p>
      <w:pPr>
        <w:spacing w:before="0" w:after="80"/>
      </w:pPr>
      <w:r>
        <w:t xml:space="preserve"/>
      </w:r>
    </w:p>
    <w:p>
      <w:r>
        <w:br w:type="page"/>
      </w:r>
    </w:p>
    <w:p>
      <w:pPr>
        <w:pStyle w:val="Heading1"/>
        <w:pBdr>
          <w:bottom w:val="single" w:color="2E75B6" w:sz="4" w:space="1"/>
        </w:pBdr>
        <w:spacing w:before="400" w:after="200"/>
      </w:pPr>
      <w:r>
        <w:rPr>
          <w:rFonts w:ascii="Arial" w:cs="Arial" w:eastAsia="Arial" w:hAnsi="Arial"/>
          <w:b/>
          <w:bCs/>
          <w:color w:val="1F4E79"/>
          <w:sz w:val="32"/>
          <w:szCs w:val="32"/>
        </w:rPr>
        <w:t xml:space="preserve">4  A tervezett hálózat – A opció: SD-Access / Catalyst Center</w:t>
      </w:r>
    </w:p>
    <w:p>
      <w:pPr>
        <w:spacing w:before="80" w:after="80"/>
        <w:jc w:val="both"/>
      </w:pPr>
      <w:r>
        <w:rPr>
          <w:rFonts w:ascii="Arial" w:cs="Arial" w:eastAsia="Arial" w:hAnsi="Arial"/>
          <w:sz w:val="22"/>
          <w:szCs w:val="22"/>
        </w:rPr>
        <w:t xml:space="preserve">Ez a fejezet a Cisco Catalyst Center (CC) platformra épülő, SD-Access technológiát alkalmazó célarchitektúrát írja le. Ez az ajánlott megoldás, amely a legteljesebb automatizációt, láthatóságot és zero-trust szegmentációt biztosítja.</w:t>
      </w:r>
    </w:p>
    <w:p>
      <w:pPr>
        <w:pStyle w:val="Heading2"/>
        <w:spacing w:before="300" w:after="140"/>
      </w:pPr>
      <w:r>
        <w:rPr>
          <w:rFonts w:ascii="Arial" w:cs="Arial" w:eastAsia="Arial" w:hAnsi="Arial"/>
          <w:b/>
          <w:bCs/>
          <w:color w:val="2E75B6"/>
          <w:sz w:val="26"/>
          <w:szCs w:val="26"/>
        </w:rPr>
        <w:t xml:space="preserve">4.1  Tervezett fizikai topológia</w:t>
      </w:r>
    </w:p>
    <w:p>
      <w:pPr>
        <w:spacing w:before="80" w:after="80"/>
        <w:jc w:val="both"/>
      </w:pPr>
      <w:r>
        <w:rPr>
          <w:rFonts w:ascii="Arial" w:cs="Arial" w:eastAsia="Arial" w:hAnsi="Arial"/>
          <w:sz w:val="22"/>
          <w:szCs w:val="22"/>
        </w:rPr>
        <w:t xml:space="preserve">Az alábbi ábra a tervezett hálózat fizikai topológiáját mutatja: a KKT és BKT szervertermek core és interconnect rétege, a tűzfal integráció, OOB hálózat, Catalyst Center és DC hálózat elhelyezkedése.</w:t>
      </w:r>
    </w:p>
    <w:p>
      <w:pPr>
        <w:spacing w:before="0" w:after="80"/>
      </w:pPr>
      <w:r>
        <w:t xml:space="preserve"/>
      </w:r>
    </w:p>
    <w:p>
      <w:pPr>
        <w:jc w:val="center"/>
      </w:pPr>
      <w:r>
        <w:drawing>
          <wp:inline distT="0" distB="0" distL="0" distR="0">
            <wp:extent cx="6372225"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72225" cy="4505325"/>
                    </a:xfrm>
                    <a:prstGeom prst="rect">
                      <a:avLst/>
                    </a:prstGeom>
                  </pic:spPr>
                </pic:pic>
              </a:graphicData>
            </a:graphic>
          </wp:inline>
        </w:drawing>
      </w:r>
    </w:p>
    <w:p>
      <w:pPr>
        <w:spacing w:before="80" w:after="200"/>
        <w:jc w:val="center"/>
      </w:pPr>
      <w:r>
        <w:rPr>
          <w:rFonts w:ascii="Arial" w:cs="Arial" w:eastAsia="Arial" w:hAnsi="Arial"/>
          <w:b/>
          <w:bCs/>
          <w:color w:val="404040"/>
          <w:sz w:val="20"/>
          <w:szCs w:val="20"/>
        </w:rPr>
        <w:t xml:space="preserve">4. ábra – </w:t>
      </w:r>
      <w:r>
        <w:rPr>
          <w:rFonts w:ascii="Arial" w:cs="Arial" w:eastAsia="Arial" w:hAnsi="Arial"/>
          <w:i/>
          <w:iCs/>
          <w:color w:val="404040"/>
          <w:sz w:val="20"/>
          <w:szCs w:val="20"/>
        </w:rPr>
        <w:t xml:space="preserve">Tervezett core architektúra – Core, InterConnect hálózat, OOB, tűzfal integráció</w:t>
      </w:r>
    </w:p>
    <w:p>
      <w:pPr>
        <w:spacing w:before="0" w:after="80"/>
      </w:pPr>
      <w:r>
        <w:t xml:space="preserve"/>
      </w:r>
    </w:p>
    <w:p>
      <w:pPr>
        <w:pStyle w:val="Heading2"/>
        <w:spacing w:before="300" w:after="140"/>
      </w:pPr>
      <w:r>
        <w:rPr>
          <w:rFonts w:ascii="Arial" w:cs="Arial" w:eastAsia="Arial" w:hAnsi="Arial"/>
          <w:b/>
          <w:bCs/>
          <w:color w:val="2E75B6"/>
          <w:sz w:val="26"/>
          <w:szCs w:val="26"/>
        </w:rPr>
        <w:t xml:space="preserve">4.2  Háromrétegű csillagpontos architektúra</w:t>
      </w:r>
    </w:p>
    <w:p>
      <w:pPr>
        <w:spacing w:before="80" w:after="80"/>
        <w:jc w:val="both"/>
      </w:pPr>
      <w:r>
        <w:rPr>
          <w:rFonts w:ascii="Arial" w:cs="Arial" w:eastAsia="Arial" w:hAnsi="Arial"/>
          <w:sz w:val="22"/>
          <w:szCs w:val="22"/>
        </w:rPr>
        <w:t xml:space="preserve">A tervezett hálózat háromrétegű csillagpontos struktúrán alapul:</w:t>
      </w:r>
    </w:p>
    <w:p>
      <w:pPr>
        <w:spacing w:before="0" w:after="80"/>
      </w:pPr>
      <w:r>
        <w:t xml:space="preserve"/>
      </w:r>
    </w:p>
    <w:p>
      <w:pPr>
        <w:shd w:fill="D6E4F0" w:val="clear"/>
        <w:spacing w:before="40" w:after="40"/>
        <w:ind w:left="360" w:right="360"/>
      </w:pPr>
      <w:r>
        <w:rPr>
          <w:rFonts w:ascii="Arial" w:cs="Arial" w:eastAsia="Arial" w:hAnsi="Arial"/>
          <w:sz w:val="21"/>
          <w:szCs w:val="21"/>
        </w:rPr>
        <w:t xml:space="preserve">  Core réteg           →  KKT és BKT: 2-2 db Cisco C9500-48Y4C (Border Node szerepkör)</w:t>
      </w:r>
    </w:p>
    <w:p>
      <w:pPr>
        <w:shd w:fill="D6E4F0" w:val="clear"/>
        <w:spacing w:before="40" w:after="40"/>
        <w:ind w:left="360" w:right="360"/>
      </w:pPr>
      <w:r>
        <w:rPr>
          <w:rFonts w:ascii="Arial" w:cs="Arial" w:eastAsia="Arial" w:hAnsi="Arial"/>
          <w:sz w:val="21"/>
          <w:szCs w:val="21"/>
        </w:rPr>
        <w:t xml:space="preserve">  Interconnect réteg   →  KKT és BKT: 2-2 db Cisco C9500-48Y4C/-24Y4C (core–telephely redundancia)</w:t>
      </w:r>
    </w:p>
    <w:p>
      <w:pPr>
        <w:shd w:fill="D6E4F0" w:val="clear"/>
        <w:spacing w:before="40" w:after="40"/>
        <w:ind w:left="360" w:right="360"/>
      </w:pPr>
      <w:r>
        <w:rPr>
          <w:rFonts w:ascii="Arial" w:cs="Arial" w:eastAsia="Arial" w:hAnsi="Arial"/>
          <w:sz w:val="21"/>
          <w:szCs w:val="21"/>
        </w:rPr>
        <w:t xml:space="preserve">  Disztribúciós réteg  →  Telephelyi főrendezők: Cisco C9300X-12Y (Edge Node szerepkör)</w:t>
      </w:r>
    </w:p>
    <w:p>
      <w:pPr>
        <w:shd w:fill="D6E4F0" w:val="clear"/>
        <w:spacing w:before="40" w:after="40"/>
        <w:ind w:left="360" w:right="360"/>
      </w:pPr>
      <w:r>
        <w:rPr>
          <w:rFonts w:ascii="Arial" w:cs="Arial" w:eastAsia="Arial" w:hAnsi="Arial"/>
          <w:sz w:val="21"/>
          <w:szCs w:val="21"/>
        </w:rPr>
        <w:t xml:space="preserve">  Access réteg         →  Szintrendezők: C9200/C9200L stack, DNA Advantage licensszel (Edge/Extended Node)</w:t>
      </w:r>
    </w:p>
    <w:p>
      <w:pPr>
        <w:spacing w:before="0" w:after="80"/>
      </w:pPr>
      <w:r>
        <w:t xml:space="preserve"/>
      </w:r>
    </w:p>
    <w:p>
      <w:pPr>
        <w:pStyle w:val="Heading3"/>
        <w:spacing w:before="220" w:after="100"/>
      </w:pPr>
      <w:r>
        <w:rPr>
          <w:rFonts w:ascii="Arial" w:cs="Arial" w:eastAsia="Arial" w:hAnsi="Arial"/>
          <w:b/>
          <w:bCs/>
          <w:color w:val="2F5496"/>
          <w:sz w:val="24"/>
          <w:szCs w:val="24"/>
        </w:rPr>
        <w:t xml:space="preserve">4.2.1  Core réteg – C9500-48Y4C</w:t>
      </w:r>
    </w:p>
    <w:p>
      <w:pPr>
        <w:pStyle w:val="ListParagraph"/>
        <w:numPr>
          <w:ilvl w:val="0"/>
          <w:numId w:val="2"/>
        </w:numPr>
        <w:spacing w:before="60" w:after="60"/>
      </w:pPr>
      <w:r>
        <w:rPr>
          <w:rFonts w:ascii="Arial" w:cs="Arial" w:eastAsia="Arial" w:hAnsi="Arial"/>
          <w:sz w:val="22"/>
          <w:szCs w:val="22"/>
        </w:rPr>
        <w:t xml:space="preserve">4 db switch (2 KKT-ban, 2 BKT-ban)</w:t>
      </w:r>
    </w:p>
    <w:p>
      <w:pPr>
        <w:pStyle w:val="ListParagraph"/>
        <w:numPr>
          <w:ilvl w:val="0"/>
          <w:numId w:val="2"/>
        </w:numPr>
        <w:spacing w:before="60" w:after="60"/>
      </w:pPr>
      <w:r>
        <w:rPr>
          <w:rFonts w:ascii="Arial" w:cs="Arial" w:eastAsia="Arial" w:hAnsi="Arial"/>
          <w:sz w:val="22"/>
          <w:szCs w:val="22"/>
        </w:rPr>
        <w:t xml:space="preserve">SD-Access Border Node és Control Plane Node szerepkör</w:t>
      </w:r>
    </w:p>
    <w:p>
      <w:pPr>
        <w:pStyle w:val="ListParagraph"/>
        <w:numPr>
          <w:ilvl w:val="0"/>
          <w:numId w:val="2"/>
        </w:numPr>
        <w:spacing w:before="60" w:after="60"/>
      </w:pPr>
      <w:r>
        <w:rPr>
          <w:rFonts w:ascii="Arial" w:cs="Arial" w:eastAsia="Arial" w:hAnsi="Arial"/>
          <w:sz w:val="22"/>
          <w:szCs w:val="22"/>
        </w:rPr>
        <w:t xml:space="preserve">BGP a Fortigate 2000E tűzfal felé</w:t>
      </w:r>
    </w:p>
    <w:p>
      <w:pPr>
        <w:pStyle w:val="ListParagraph"/>
        <w:numPr>
          <w:ilvl w:val="0"/>
          <w:numId w:val="2"/>
        </w:numPr>
        <w:spacing w:before="60" w:after="60"/>
      </w:pPr>
      <w:r>
        <w:rPr>
          <w:rFonts w:ascii="Arial" w:cs="Arial" w:eastAsia="Arial" w:hAnsi="Arial"/>
          <w:sz w:val="22"/>
          <w:szCs w:val="22"/>
        </w:rPr>
        <w:t xml:space="preserve">100G uplink az Interconnect hálózat felé</w:t>
      </w:r>
    </w:p>
    <w:p>
      <w:pPr>
        <w:pStyle w:val="Heading3"/>
        <w:spacing w:before="220" w:after="100"/>
      </w:pPr>
      <w:r>
        <w:rPr>
          <w:rFonts w:ascii="Arial" w:cs="Arial" w:eastAsia="Arial" w:hAnsi="Arial"/>
          <w:b/>
          <w:bCs/>
          <w:color w:val="2F5496"/>
          <w:sz w:val="24"/>
          <w:szCs w:val="24"/>
        </w:rPr>
        <w:t xml:space="preserve">4.2.2  Interconnect réteg</w:t>
      </w:r>
    </w:p>
    <w:p>
      <w:pPr>
        <w:pStyle w:val="ListParagraph"/>
        <w:numPr>
          <w:ilvl w:val="0"/>
          <w:numId w:val="2"/>
        </w:numPr>
        <w:spacing w:before="60" w:after="60"/>
      </w:pPr>
      <w:r>
        <w:rPr>
          <w:rFonts w:ascii="Arial" w:cs="Arial" w:eastAsia="Arial" w:hAnsi="Arial"/>
          <w:sz w:val="22"/>
          <w:szCs w:val="22"/>
        </w:rPr>
        <w:t xml:space="preserve">4 db switch (2 KKT-ban, 2 BKT-ban)</w:t>
      </w:r>
    </w:p>
    <w:p>
      <w:pPr>
        <w:pStyle w:val="ListParagraph"/>
        <w:numPr>
          <w:ilvl w:val="0"/>
          <w:numId w:val="2"/>
        </w:numPr>
        <w:spacing w:before="60" w:after="60"/>
      </w:pPr>
      <w:r>
        <w:rPr>
          <w:rFonts w:ascii="Arial" w:cs="Arial" w:eastAsia="Arial" w:hAnsi="Arial"/>
          <w:sz w:val="22"/>
          <w:szCs w:val="22"/>
        </w:rPr>
        <w:t xml:space="preserve">Full-mesh, 40/100G kapcsolatokkal, 6 szálpár/kapcsolat</w:t>
      </w:r>
    </w:p>
    <w:p>
      <w:pPr>
        <w:pStyle w:val="ListParagraph"/>
        <w:numPr>
          <w:ilvl w:val="0"/>
          <w:numId w:val="2"/>
        </w:numPr>
        <w:spacing w:before="60" w:after="60"/>
      </w:pPr>
      <w:r>
        <w:rPr>
          <w:rFonts w:ascii="Arial" w:cs="Arial" w:eastAsia="Arial" w:hAnsi="Arial"/>
          <w:sz w:val="22"/>
          <w:szCs w:val="22"/>
        </w:rPr>
        <w:t xml:space="preserve">Feladata: core–core redundancia és telephely–core redundáns útvonalak</w:t>
      </w:r>
    </w:p>
    <w:p>
      <w:pPr>
        <w:pStyle w:val="ListParagraph"/>
        <w:numPr>
          <w:ilvl w:val="0"/>
          <w:numId w:val="2"/>
        </w:numPr>
        <w:spacing w:before="60" w:after="60"/>
      </w:pPr>
      <w:r>
        <w:rPr>
          <w:rFonts w:ascii="Arial" w:cs="Arial" w:eastAsia="Arial" w:hAnsi="Arial"/>
          <w:sz w:val="22"/>
          <w:szCs w:val="22"/>
        </w:rPr>
        <w:t xml:space="preserve">Alternatív eszköz: Cisco Nexus 93180YC-FX3</w:t>
      </w:r>
    </w:p>
    <w:p>
      <w:pPr>
        <w:pStyle w:val="Heading3"/>
        <w:spacing w:before="220" w:after="100"/>
      </w:pPr>
      <w:r>
        <w:rPr>
          <w:rFonts w:ascii="Arial" w:cs="Arial" w:eastAsia="Arial" w:hAnsi="Arial"/>
          <w:b/>
          <w:bCs/>
          <w:color w:val="2F5496"/>
          <w:sz w:val="24"/>
          <w:szCs w:val="24"/>
        </w:rPr>
        <w:t xml:space="preserve">4.2.3  Disztribúciós réteg – C9300X-12Y</w:t>
      </w:r>
    </w:p>
    <w:p>
      <w:pPr>
        <w:pStyle w:val="ListParagraph"/>
        <w:numPr>
          <w:ilvl w:val="0"/>
          <w:numId w:val="2"/>
        </w:numPr>
        <w:spacing w:before="60" w:after="60"/>
      </w:pPr>
      <w:r>
        <w:rPr>
          <w:rFonts w:ascii="Arial" w:cs="Arial" w:eastAsia="Arial" w:hAnsi="Arial"/>
          <w:sz w:val="22"/>
          <w:szCs w:val="22"/>
        </w:rPr>
        <w:t xml:space="preserve">Kritikus telephelyen: 2 db switch (mindkét core felé redundáns uplink)</w:t>
      </w:r>
    </w:p>
    <w:p>
      <w:pPr>
        <w:pStyle w:val="ListParagraph"/>
        <w:numPr>
          <w:ilvl w:val="0"/>
          <w:numId w:val="2"/>
        </w:numPr>
        <w:spacing w:before="60" w:after="60"/>
      </w:pPr>
      <w:r>
        <w:rPr>
          <w:rFonts w:ascii="Arial" w:cs="Arial" w:eastAsia="Arial" w:hAnsi="Arial"/>
          <w:sz w:val="22"/>
          <w:szCs w:val="22"/>
        </w:rPr>
        <w:t xml:space="preserve">Nem kritikus telephelyen: 1 db switch (elsődleges core felé)</w:t>
      </w:r>
    </w:p>
    <w:p>
      <w:pPr>
        <w:pStyle w:val="ListParagraph"/>
        <w:numPr>
          <w:ilvl w:val="0"/>
          <w:numId w:val="2"/>
        </w:numPr>
        <w:spacing w:before="60" w:after="60"/>
      </w:pPr>
      <w:r>
        <w:rPr>
          <w:rFonts w:ascii="Arial" w:cs="Arial" w:eastAsia="Arial" w:hAnsi="Arial"/>
          <w:sz w:val="22"/>
          <w:szCs w:val="22"/>
        </w:rPr>
        <w:t xml:space="preserve">Becsült mennyiség: ~60–80 db (LLD pontosítja)</w:t>
      </w:r>
    </w:p>
    <w:p>
      <w:pPr>
        <w:pStyle w:val="ListParagraph"/>
        <w:numPr>
          <w:ilvl w:val="0"/>
          <w:numId w:val="2"/>
        </w:numPr>
        <w:spacing w:before="60" w:after="60"/>
      </w:pPr>
      <w:r>
        <w:rPr>
          <w:rFonts w:ascii="Arial" w:cs="Arial" w:eastAsia="Arial" w:hAnsi="Arial"/>
          <w:sz w:val="22"/>
          <w:szCs w:val="22"/>
        </w:rPr>
        <w:t xml:space="preserve">DNA Advantage licensz szükséges</w:t>
      </w:r>
    </w:p>
    <w:p>
      <w:pPr>
        <w:pStyle w:val="Heading3"/>
        <w:spacing w:before="220" w:after="100"/>
      </w:pPr>
      <w:r>
        <w:rPr>
          <w:rFonts w:ascii="Arial" w:cs="Arial" w:eastAsia="Arial" w:hAnsi="Arial"/>
          <w:b/>
          <w:bCs/>
          <w:color w:val="2F5496"/>
          <w:sz w:val="24"/>
          <w:szCs w:val="24"/>
        </w:rPr>
        <w:t xml:space="preserve">4.2.4  Access réteg – C9200/C9200L</w:t>
      </w:r>
    </w:p>
    <w:p>
      <w:pPr>
        <w:pStyle w:val="ListParagraph"/>
        <w:numPr>
          <w:ilvl w:val="0"/>
          <w:numId w:val="2"/>
        </w:numPr>
        <w:spacing w:before="60" w:after="60"/>
      </w:pPr>
      <w:r>
        <w:rPr>
          <w:rFonts w:ascii="Arial" w:cs="Arial" w:eastAsia="Arial" w:hAnsi="Arial"/>
          <w:sz w:val="22"/>
          <w:szCs w:val="22"/>
        </w:rPr>
        <w:t xml:space="preserve">Meglévő eszközök megtartása, stack kialakítással szintrendezőnként</w:t>
      </w:r>
    </w:p>
    <w:p>
      <w:pPr>
        <w:pStyle w:val="ListParagraph"/>
        <w:numPr>
          <w:ilvl w:val="0"/>
          <w:numId w:val="2"/>
        </w:numPr>
        <w:spacing w:before="60" w:after="60"/>
      </w:pPr>
      <w:r>
        <w:rPr>
          <w:rFonts w:ascii="Arial" w:cs="Arial" w:eastAsia="Arial" w:hAnsi="Arial"/>
          <w:sz w:val="22"/>
          <w:szCs w:val="22"/>
        </w:rPr>
        <w:t xml:space="preserve">C9200 → SD-Access Edge Node, C9200L → Extended Node</w:t>
      </w:r>
    </w:p>
    <w:p>
      <w:pPr>
        <w:pStyle w:val="ListParagraph"/>
        <w:numPr>
          <w:ilvl w:val="0"/>
          <w:numId w:val="2"/>
        </w:numPr>
        <w:spacing w:before="60" w:after="60"/>
      </w:pPr>
      <w:r>
        <w:rPr>
          <w:rFonts w:ascii="Arial" w:cs="Arial" w:eastAsia="Arial" w:hAnsi="Arial"/>
          <w:sz w:val="22"/>
          <w:szCs w:val="22"/>
        </w:rPr>
        <w:t xml:space="preserve">Essential licensz → DNA Advantage licenszre upgrade szükséges</w:t>
      </w:r>
    </w:p>
    <w:p>
      <w:pPr>
        <w:pStyle w:val="Heading2"/>
        <w:spacing w:before="300" w:after="140"/>
      </w:pPr>
      <w:r>
        <w:rPr>
          <w:rFonts w:ascii="Arial" w:cs="Arial" w:eastAsia="Arial" w:hAnsi="Arial"/>
          <w:b/>
          <w:bCs/>
          <w:color w:val="2E75B6"/>
          <w:sz w:val="26"/>
          <w:szCs w:val="26"/>
        </w:rPr>
        <w:t xml:space="preserve">4.3  Redundancia modellek</w:t>
      </w:r>
    </w:p>
    <w:p>
      <w:pPr>
        <w:spacing w:before="80" w:after="80"/>
        <w:jc w:val="both"/>
      </w:pPr>
      <w:r>
        <w:rPr>
          <w:rFonts w:ascii="Arial" w:cs="Arial" w:eastAsia="Arial" w:hAnsi="Arial"/>
          <w:sz w:val="22"/>
          <w:szCs w:val="22"/>
        </w:rPr>
        <w:t xml:space="preserve">Az alábbi ábra a disztribúciós réteg teljes és fél redundanciájának megvalósítását mutatja, az Interconnect hálózaton keresztüli útvonalakkal:</w:t>
      </w:r>
    </w:p>
    <w:p>
      <w:pPr>
        <w:spacing w:before="0" w:after="80"/>
      </w:pPr>
      <w:r>
        <w:t xml:space="preserve"/>
      </w:r>
    </w:p>
    <w:p>
      <w:pPr>
        <w:jc w:val="center"/>
      </w:pPr>
      <w:r>
        <w:drawing>
          <wp:inline distT="0" distB="0" distL="0" distR="0">
            <wp:extent cx="6372225"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72225" cy="4505325"/>
                    </a:xfrm>
                    <a:prstGeom prst="rect">
                      <a:avLst/>
                    </a:prstGeom>
                  </pic:spPr>
                </pic:pic>
              </a:graphicData>
            </a:graphic>
          </wp:inline>
        </w:drawing>
      </w:r>
    </w:p>
    <w:p>
      <w:pPr>
        <w:spacing w:before="80" w:after="200"/>
        <w:jc w:val="center"/>
      </w:pPr>
      <w:r>
        <w:rPr>
          <w:rFonts w:ascii="Arial" w:cs="Arial" w:eastAsia="Arial" w:hAnsi="Arial"/>
          <w:b/>
          <w:bCs/>
          <w:color w:val="404040"/>
          <w:sz w:val="20"/>
          <w:szCs w:val="20"/>
        </w:rPr>
        <w:t xml:space="preserve">5. ábra – </w:t>
      </w:r>
      <w:r>
        <w:rPr>
          <w:rFonts w:ascii="Arial" w:cs="Arial" w:eastAsia="Arial" w:hAnsi="Arial"/>
          <w:i/>
          <w:iCs/>
          <w:color w:val="404040"/>
          <w:sz w:val="20"/>
          <w:szCs w:val="20"/>
        </w:rPr>
        <w:t xml:space="preserve">Disztribúció-Core redundancia – teljes és fél redundancia az InterConnect hálózaton keresztül</w:t>
      </w:r>
    </w:p>
    <w:p>
      <w:pPr>
        <w:spacing w:before="0" w:after="80"/>
      </w:pPr>
      <w:r>
        <w:t xml:space="preserve"/>
      </w:r>
    </w:p>
    <w:p>
      <w:pPr>
        <w:pStyle w:val="Heading3"/>
        <w:spacing w:before="220" w:after="100"/>
      </w:pPr>
      <w:r>
        <w:rPr>
          <w:rFonts w:ascii="Arial" w:cs="Arial" w:eastAsia="Arial" w:hAnsi="Arial"/>
          <w:b/>
          <w:bCs/>
          <w:color w:val="2F5496"/>
          <w:sz w:val="24"/>
          <w:szCs w:val="24"/>
        </w:rPr>
        <w:t xml:space="preserve">4.3.1  Core redundancia</w:t>
      </w:r>
    </w:p>
    <w:p>
      <w:pPr>
        <w:spacing w:before="80" w:after="80"/>
        <w:jc w:val="both"/>
      </w:pPr>
      <w:r>
        <w:rPr>
          <w:rFonts w:ascii="Arial" w:cs="Arial" w:eastAsia="Arial" w:hAnsi="Arial"/>
          <w:sz w:val="22"/>
          <w:szCs w:val="22"/>
        </w:rPr>
        <w:t xml:space="preserve">Mindkét adatközpontban 2-2 core switch kerül elhelyezésre, amelyek az interconnect eszközökkel teljes mesh topológiát alkotnak:</w:t>
      </w:r>
    </w:p>
    <w:p>
      <w:pPr>
        <w:pStyle w:val="ListParagraph"/>
        <w:numPr>
          <w:ilvl w:val="0"/>
          <w:numId w:val="2"/>
        </w:numPr>
        <w:spacing w:before="60" w:after="60"/>
      </w:pPr>
      <w:r>
        <w:rPr>
          <w:rFonts w:ascii="Arial" w:cs="Arial" w:eastAsia="Arial" w:hAnsi="Arial"/>
          <w:sz w:val="22"/>
          <w:szCs w:val="22"/>
        </w:rPr>
        <w:t xml:space="preserve">KKTCore-Device1 ↔ KKTCore-Device2 (cross-connect)</w:t>
      </w:r>
    </w:p>
    <w:p>
      <w:pPr>
        <w:pStyle w:val="ListParagraph"/>
        <w:numPr>
          <w:ilvl w:val="0"/>
          <w:numId w:val="2"/>
        </w:numPr>
        <w:spacing w:before="60" w:after="60"/>
      </w:pPr>
      <w:r>
        <w:rPr>
          <w:rFonts w:ascii="Arial" w:cs="Arial" w:eastAsia="Arial" w:hAnsi="Arial"/>
          <w:sz w:val="22"/>
          <w:szCs w:val="22"/>
        </w:rPr>
        <w:t xml:space="preserve">KKTCore-Device1/2 ↔ KKTInterconnect-Device1/2 (4 kapcsolat)</w:t>
      </w:r>
    </w:p>
    <w:p>
      <w:pPr>
        <w:pStyle w:val="ListParagraph"/>
        <w:numPr>
          <w:ilvl w:val="0"/>
          <w:numId w:val="2"/>
        </w:numPr>
        <w:spacing w:before="60" w:after="60"/>
      </w:pPr>
      <w:r>
        <w:rPr>
          <w:rFonts w:ascii="Arial" w:cs="Arial" w:eastAsia="Arial" w:hAnsi="Arial"/>
          <w:sz w:val="22"/>
          <w:szCs w:val="22"/>
        </w:rPr>
        <w:t xml:space="preserve">KKTInterconnect-Device1 ↔ KKTInterconnect-Device2 (cross-connect)</w:t>
      </w:r>
    </w:p>
    <w:p>
      <w:pPr>
        <w:spacing w:before="60" w:after="60"/>
        <w:ind w:left="360"/>
      </w:pPr>
      <w:r>
        <w:rPr>
          <w:rFonts w:ascii="Arial" w:cs="Arial" w:eastAsia="Arial" w:hAnsi="Arial"/>
          <w:b/>
          <w:bCs/>
          <w:i/>
          <w:iCs/>
          <w:color w:val="595959"/>
          <w:sz w:val="20"/>
          <w:szCs w:val="20"/>
        </w:rPr>
        <w:t xml:space="preserve">Megjegyzés: </w:t>
      </w:r>
      <w:r>
        <w:rPr>
          <w:rFonts w:ascii="Arial" w:cs="Arial" w:eastAsia="Arial" w:hAnsi="Arial"/>
          <w:i/>
          <w:iCs/>
          <w:color w:val="595959"/>
          <w:sz w:val="20"/>
          <w:szCs w:val="20"/>
        </w:rPr>
        <w:t xml:space="preserve">Azonos struktúra alkalmazandó a BKT helyszínen is.</w:t>
      </w:r>
    </w:p>
    <w:p>
      <w:pPr>
        <w:pStyle w:val="Heading3"/>
        <w:spacing w:before="220" w:after="100"/>
      </w:pPr>
      <w:r>
        <w:rPr>
          <w:rFonts w:ascii="Arial" w:cs="Arial" w:eastAsia="Arial" w:hAnsi="Arial"/>
          <w:b/>
          <w:bCs/>
          <w:color w:val="2F5496"/>
          <w:sz w:val="24"/>
          <w:szCs w:val="24"/>
        </w:rPr>
        <w:t xml:space="preserve">4.3.2  Disztribúció-Core teljes redundancia (kritikus telephelyek)</w:t>
      </w:r>
    </w:p>
    <w:p>
      <w:pPr>
        <w:spacing w:before="80" w:after="80"/>
        <w:jc w:val="both"/>
      </w:pPr>
      <w:r>
        <w:rPr>
          <w:rFonts w:ascii="Arial" w:cs="Arial" w:eastAsia="Arial" w:hAnsi="Arial"/>
          <w:sz w:val="22"/>
          <w:szCs w:val="22"/>
        </w:rPr>
        <w:t xml:space="preserve">4 szálpár a core helyszín felé: 2 szálpár a core switchekre, 2 szálpár az interconnect switchekre – így bármely core eszköz meghibásodása esetén folyamatos elérhetőség biztosított.</w:t>
      </w:r>
    </w:p>
    <w:p>
      <w:pPr>
        <w:pStyle w:val="Heading3"/>
        <w:spacing w:before="220" w:after="100"/>
      </w:pPr>
      <w:r>
        <w:rPr>
          <w:rFonts w:ascii="Arial" w:cs="Arial" w:eastAsia="Arial" w:hAnsi="Arial"/>
          <w:b/>
          <w:bCs/>
          <w:color w:val="2F5496"/>
          <w:sz w:val="24"/>
          <w:szCs w:val="24"/>
        </w:rPr>
        <w:t xml:space="preserve">4.3.3  Disztribúció-Core fél redundancia (nem kritikus telephelyek)</w:t>
      </w:r>
    </w:p>
    <w:p>
      <w:pPr>
        <w:spacing w:before="80" w:after="80"/>
        <w:jc w:val="both"/>
      </w:pPr>
      <w:r>
        <w:rPr>
          <w:rFonts w:ascii="Arial" w:cs="Arial" w:eastAsia="Arial" w:hAnsi="Arial"/>
          <w:sz w:val="22"/>
          <w:szCs w:val="22"/>
        </w:rPr>
        <w:t xml:space="preserve">2 szálpár: 1 szálpár a core switchre, 1 szálpár az interconnect switchre – alapszintű redundancia biztosított.</w:t>
      </w:r>
    </w:p>
    <w:p>
      <w:pPr>
        <w:pStyle w:val="Heading2"/>
        <w:spacing w:before="300" w:after="140"/>
      </w:pPr>
      <w:r>
        <w:rPr>
          <w:rFonts w:ascii="Arial" w:cs="Arial" w:eastAsia="Arial" w:hAnsi="Arial"/>
          <w:b/>
          <w:bCs/>
          <w:color w:val="2E75B6"/>
          <w:sz w:val="26"/>
          <w:szCs w:val="26"/>
        </w:rPr>
        <w:t xml:space="preserve">4.4  OOB menedzsment hálózat</w:t>
      </w:r>
    </w:p>
    <w:p>
      <w:pPr>
        <w:spacing w:before="80" w:after="80"/>
        <w:jc w:val="both"/>
      </w:pPr>
      <w:r>
        <w:rPr>
          <w:rFonts w:ascii="Arial" w:cs="Arial" w:eastAsia="Arial" w:hAnsi="Arial"/>
          <w:sz w:val="22"/>
          <w:szCs w:val="22"/>
        </w:rPr>
        <w:t xml:space="preserve">Dedikált sávon kívüli menedzsment hálózat kerül kialakításra az OOB tűzfalon keresztül szeparálva:</w:t>
      </w:r>
    </w:p>
    <w:p>
      <w:pPr>
        <w:pStyle w:val="ListParagraph"/>
        <w:numPr>
          <w:ilvl w:val="0"/>
          <w:numId w:val="2"/>
        </w:numPr>
        <w:spacing w:before="60" w:after="60"/>
      </w:pPr>
      <w:r>
        <w:rPr>
          <w:rFonts w:ascii="Arial" w:cs="Arial" w:eastAsia="Arial" w:hAnsi="Arial"/>
          <w:sz w:val="22"/>
          <w:szCs w:val="22"/>
        </w:rPr>
        <w:t xml:space="preserve">Minden core és interconnect switch – kötelező OOB és console elérés</w:t>
      </w:r>
    </w:p>
    <w:p>
      <w:pPr>
        <w:pStyle w:val="ListParagraph"/>
        <w:numPr>
          <w:ilvl w:val="0"/>
          <w:numId w:val="2"/>
        </w:numPr>
        <w:spacing w:before="60" w:after="60"/>
      </w:pPr>
      <w:r>
        <w:rPr>
          <w:rFonts w:ascii="Arial" w:cs="Arial" w:eastAsia="Arial" w:hAnsi="Arial"/>
          <w:sz w:val="22"/>
          <w:szCs w:val="22"/>
        </w:rPr>
        <w:t xml:space="preserve">DC Nexus eszközök – OOB menedzsment</w:t>
      </w:r>
    </w:p>
    <w:p>
      <w:pPr>
        <w:pStyle w:val="ListParagraph"/>
        <w:numPr>
          <w:ilvl w:val="0"/>
          <w:numId w:val="2"/>
        </w:numPr>
        <w:spacing w:before="60" w:after="60"/>
      </w:pPr>
      <w:r>
        <w:rPr>
          <w:rFonts w:ascii="Arial" w:cs="Arial" w:eastAsia="Arial" w:hAnsi="Arial"/>
          <w:sz w:val="22"/>
          <w:szCs w:val="22"/>
        </w:rPr>
        <w:t xml:space="preserve">OOB Console Router és OOB tűzfal – mindkét adatközpontban</w:t>
      </w:r>
    </w:p>
    <w:p>
      <w:pPr>
        <w:pStyle w:val="ListParagraph"/>
        <w:numPr>
          <w:ilvl w:val="0"/>
          <w:numId w:val="2"/>
        </w:numPr>
        <w:spacing w:before="60" w:after="60"/>
      </w:pPr>
      <w:r>
        <w:rPr>
          <w:rFonts w:ascii="Arial" w:cs="Arial" w:eastAsia="Arial" w:hAnsi="Arial"/>
          <w:sz w:val="22"/>
          <w:szCs w:val="22"/>
        </w:rPr>
        <w:t xml:space="preserve">Disztribúciós réteg – OOB menedzsment mérlegelendő</w:t>
      </w:r>
    </w:p>
    <w:p>
      <w:pPr>
        <w:pStyle w:val="ListParagraph"/>
        <w:numPr>
          <w:ilvl w:val="0"/>
          <w:numId w:val="2"/>
        </w:numPr>
        <w:spacing w:before="60" w:after="60"/>
      </w:pPr>
      <w:r>
        <w:rPr>
          <w:rFonts w:ascii="Arial" w:cs="Arial" w:eastAsia="Arial" w:hAnsi="Arial"/>
          <w:sz w:val="22"/>
          <w:szCs w:val="22"/>
        </w:rPr>
        <w:t xml:space="preserve">Access réteg – OOB nem szükséges</w:t>
      </w:r>
    </w:p>
    <w:p>
      <w:pPr>
        <w:pStyle w:val="Heading2"/>
        <w:spacing w:before="300" w:after="140"/>
      </w:pPr>
      <w:r>
        <w:rPr>
          <w:rFonts w:ascii="Arial" w:cs="Arial" w:eastAsia="Arial" w:hAnsi="Arial"/>
          <w:b/>
          <w:bCs/>
          <w:color w:val="2E75B6"/>
          <w:sz w:val="26"/>
          <w:szCs w:val="26"/>
        </w:rPr>
        <w:t xml:space="preserve">4.5  Logikai topológia – SD-Access Fabric</w:t>
      </w:r>
    </w:p>
    <w:p>
      <w:pPr>
        <w:pStyle w:val="Heading3"/>
        <w:spacing w:before="220" w:after="100"/>
      </w:pPr>
      <w:r>
        <w:rPr>
          <w:rFonts w:ascii="Arial" w:cs="Arial" w:eastAsia="Arial" w:hAnsi="Arial"/>
          <w:b/>
          <w:bCs/>
          <w:color w:val="2F5496"/>
          <w:sz w:val="24"/>
          <w:szCs w:val="24"/>
        </w:rPr>
        <w:t xml:space="preserve">4.5.1  Fabric Site struktúra</w:t>
      </w:r>
    </w:p>
    <w:p>
      <w:pPr>
        <w:spacing w:before="80" w:after="80"/>
        <w:jc w:val="both"/>
      </w:pPr>
      <w:r>
        <w:rPr>
          <w:rFonts w:ascii="Arial" w:cs="Arial" w:eastAsia="Arial" w:hAnsi="Arial"/>
          <w:sz w:val="22"/>
          <w:szCs w:val="22"/>
        </w:rPr>
        <w:t xml:space="preserve">Egyetlen Fabric Site kerül kialakításra, amely a teljes SOTE campus hálózatát lefedi. Az egységes site egyszerűsíti a policy terjesztését és az eszköz-onboarding folyamatát.</w:t>
      </w:r>
    </w:p>
    <w:p>
      <w:pPr>
        <w:spacing w:before="0" w:after="80"/>
      </w:pPr>
      <w:r>
        <w:t xml:space="preserve"/>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7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Fizikai réteg</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SD-Access szerepkör</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Eszköz</w:t>
            </w:r>
          </w:p>
        </w:tc>
        <w:tc>
          <w:tcPr>
            <w:tcW w:type="dxa" w:w="27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Licensz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Border Node + Control Plane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C9500-48Y4C</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DNA Advantage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Disztribúció</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Edge Node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C9300X-12Y</w:t>
            </w:r>
          </w:p>
        </w:tc>
        <w:tc>
          <w:tcPr>
            <w:tcW w:type="dxa" w:w="27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DNA Advantage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Access C9200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Edge 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C9200</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DNA Advantage (upgrade)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Access C9200L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Extended Node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C9200L</w:t>
            </w:r>
          </w:p>
        </w:tc>
        <w:tc>
          <w:tcPr>
            <w:tcW w:type="dxa" w:w="27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DNA Advantage (upgrade)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Wifi 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OTT (Over The 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Meglévő AP-k</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Meglévő licensz</w:t>
            </w:r>
          </w:p>
        </w:tc>
      </w:tr>
    </w:tbl>
    <w:p>
      <w:pPr>
        <w:pStyle w:val="Heading3"/>
        <w:spacing w:before="220" w:after="100"/>
      </w:pPr>
      <w:r>
        <w:rPr>
          <w:rFonts w:ascii="Arial" w:cs="Arial" w:eastAsia="Arial" w:hAnsi="Arial"/>
          <w:b/>
          <w:bCs/>
          <w:color w:val="2F5496"/>
          <w:sz w:val="24"/>
          <w:szCs w:val="24"/>
        </w:rPr>
        <w:t xml:space="preserve">4.5.2  Makró-szegmentáció – Virtual Networks (VN)</w:t>
      </w:r>
    </w:p>
    <w:p>
      <w:pPr>
        <w:spacing w:before="0" w:after="80"/>
      </w:pPr>
      <w:r>
        <w:t xml:space="preserve"/>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7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Virtual Network</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Leírás</w:t>
            </w:r>
          </w:p>
        </w:tc>
        <w:tc>
          <w:tcPr>
            <w:tcW w:type="dxa" w:w="43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Jellemző eszközök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Semmelweis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Általános campus (dolgozói) hálózat</w:t>
            </w:r>
          </w:p>
        </w:tc>
        <w:tc>
          <w:tcPr>
            <w:tcW w:type="dxa" w:w="4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Munkaállomások, adminisztrációs eszközök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MedMob</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Orvosi mobil eszközök</w:t>
            </w:r>
          </w:p>
        </w:tc>
        <w:tc>
          <w:tcPr>
            <w:tcW w:type="dxa" w:w="4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Klinikai terminálok, betegágy melletti eszközök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Orvosi IoT / BMS eszközök</w:t>
            </w:r>
          </w:p>
        </w:tc>
        <w:tc>
          <w:tcPr>
            <w:tcW w:type="dxa" w:w="4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Orvosi berendezések, szenzrok, épületfelügyelet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Hallgato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Hallgatói hálózat</w:t>
            </w:r>
          </w:p>
        </w:tc>
        <w:tc>
          <w:tcPr>
            <w:tcW w:type="dxa" w:w="43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Hallgatói laptopok, tantermi eszközök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Guest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Vendég / látogató hálózat</w:t>
            </w:r>
          </w:p>
        </w:tc>
        <w:tc>
          <w:tcPr>
            <w:tcW w:type="dxa" w:w="43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Vendég wifi, látogató eszközök</w:t>
            </w:r>
          </w:p>
        </w:tc>
      </w:tr>
    </w:tbl>
    <w:p>
      <w:pPr>
        <w:pStyle w:val="Heading3"/>
        <w:spacing w:before="220" w:after="100"/>
      </w:pPr>
      <w:r>
        <w:rPr>
          <w:rFonts w:ascii="Arial" w:cs="Arial" w:eastAsia="Arial" w:hAnsi="Arial"/>
          <w:b/>
          <w:bCs/>
          <w:color w:val="2F5496"/>
          <w:sz w:val="24"/>
          <w:szCs w:val="24"/>
        </w:rPr>
        <w:t xml:space="preserve">4.5.3  Mikró-szegmentáció – SGT</w:t>
      </w:r>
    </w:p>
    <w:p>
      <w:pPr>
        <w:spacing w:before="80" w:after="80"/>
        <w:jc w:val="both"/>
      </w:pPr>
      <w:r>
        <w:rPr>
          <w:rFonts w:ascii="Arial" w:cs="Arial" w:eastAsia="Arial" w:hAnsi="Arial"/>
          <w:sz w:val="22"/>
          <w:szCs w:val="22"/>
        </w:rPr>
        <w:t xml:space="preserve">SGT (Scalable Group Tag) alapú mikró-szegmentáció kerül alkalmazásra. Az SGT lehetővé teszi, hogy a migráció során több régi VLAN-t egyetlen VN-be vonjuk össze, miközben a szeparáció SGT policy-kkal valósul meg. Ez csökkenti a VLAN-ok számát és egyszerűsíti a policy management-et.</w:t>
      </w:r>
    </w:p>
    <w:p>
      <w:pPr>
        <w:pStyle w:val="Heading3"/>
        <w:spacing w:before="220" w:after="100"/>
      </w:pPr>
      <w:r>
        <w:rPr>
          <w:rFonts w:ascii="Arial" w:cs="Arial" w:eastAsia="Arial" w:hAnsi="Arial"/>
          <w:b/>
          <w:bCs/>
          <w:color w:val="2F5496"/>
          <w:sz w:val="24"/>
          <w:szCs w:val="24"/>
        </w:rPr>
        <w:t xml:space="preserve">4.5.4  Anycast Gateway és VLAN migráció</w:t>
      </w:r>
    </w:p>
    <w:p>
      <w:pPr>
        <w:spacing w:before="0" w:after="80"/>
      </w:pPr>
      <w:r>
        <w:t xml:space="preserve"/>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7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Eset</w:t>
            </w:r>
          </w:p>
        </w:tc>
        <w:tc>
          <w:tcPr>
            <w:tcW w:type="dxa" w:w="3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Leírás</w:t>
            </w:r>
          </w:p>
        </w:tc>
        <w:tc>
          <w:tcPr>
            <w:tcW w:type="dxa" w:w="50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Megközelítés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Csak DHCP-s kliensek, nincs statikus DHCP a tűzfalban</w:t>
            </w:r>
          </w:p>
        </w:tc>
        <w:tc>
          <w:tcPr>
            <w:tcW w:type="dxa" w:w="50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Új IP tartomány, L2 handoff nem szükséges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DHCP-s kliensek + statikus DHCP lefoglalások módosíthatók</w:t>
            </w:r>
          </w:p>
        </w:tc>
        <w:tc>
          <w:tcPr>
            <w:tcW w:type="dxa" w:w="50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Új tartomány, FW szabály módosítás, L2 handoff nem szükséges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Vegyes (statikus IP-k), nem módosítható FW konfiguráció</w:t>
            </w:r>
          </w:p>
        </w:tc>
        <w:tc>
          <w:tcPr>
            <w:tcW w:type="dxa" w:w="50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L2 handoff szükséges</w:t>
            </w:r>
          </w:p>
        </w:tc>
      </w:tr>
    </w:tbl>
    <w:p>
      <w:pPr>
        <w:pStyle w:val="Heading2"/>
        <w:spacing w:before="300" w:after="140"/>
      </w:pPr>
      <w:r>
        <w:rPr>
          <w:rFonts w:ascii="Arial" w:cs="Arial" w:eastAsia="Arial" w:hAnsi="Arial"/>
          <w:b/>
          <w:bCs/>
          <w:color w:val="2E75B6"/>
          <w:sz w:val="26"/>
          <w:szCs w:val="26"/>
        </w:rPr>
        <w:t xml:space="preserve">4.6  Routing stratégia</w:t>
      </w:r>
    </w:p>
    <w:p>
      <w:pPr>
        <w:pStyle w:val="ListParagraph"/>
        <w:numPr>
          <w:ilvl w:val="0"/>
          <w:numId w:val="2"/>
        </w:numPr>
        <w:spacing w:before="60" w:after="60"/>
      </w:pPr>
      <w:r>
        <w:rPr>
          <w:rFonts w:ascii="Arial" w:cs="Arial" w:eastAsia="Arial" w:hAnsi="Arial"/>
          <w:sz w:val="22"/>
          <w:szCs w:val="22"/>
        </w:rPr>
        <w:t xml:space="preserve">Underlay: OSPF + SSM Multicast + MSDP</w:t>
      </w:r>
    </w:p>
    <w:p>
      <w:pPr>
        <w:pStyle w:val="ListParagraph"/>
        <w:numPr>
          <w:ilvl w:val="0"/>
          <w:numId w:val="2"/>
        </w:numPr>
        <w:spacing w:before="60" w:after="60"/>
      </w:pPr>
      <w:r>
        <w:rPr>
          <w:rFonts w:ascii="Arial" w:cs="Arial" w:eastAsia="Arial" w:hAnsi="Arial"/>
          <w:sz w:val="22"/>
          <w:szCs w:val="22"/>
        </w:rPr>
        <w:t xml:space="preserve">Overlay: LISP + VXLAN (automatikusan konfigurálva CC által)</w:t>
      </w:r>
    </w:p>
    <w:p>
      <w:pPr>
        <w:pStyle w:val="ListParagraph"/>
        <w:numPr>
          <w:ilvl w:val="0"/>
          <w:numId w:val="2"/>
        </w:numPr>
        <w:spacing w:before="60" w:after="60"/>
      </w:pPr>
      <w:r>
        <w:rPr>
          <w:rFonts w:ascii="Arial" w:cs="Arial" w:eastAsia="Arial" w:hAnsi="Arial"/>
          <w:sz w:val="22"/>
          <w:szCs w:val="22"/>
        </w:rPr>
        <w:t xml:space="preserve">Border eszközök ↔ Fortigate 2000E: BGP</w:t>
      </w:r>
    </w:p>
    <w:p>
      <w:pPr>
        <w:pStyle w:val="ListParagraph"/>
        <w:numPr>
          <w:ilvl w:val="0"/>
          <w:numId w:val="2"/>
        </w:numPr>
        <w:spacing w:before="60" w:after="60"/>
      </w:pPr>
      <w:r>
        <w:rPr>
          <w:rFonts w:ascii="Arial" w:cs="Arial" w:eastAsia="Arial" w:hAnsi="Arial"/>
          <w:sz w:val="22"/>
          <w:szCs w:val="22"/>
        </w:rPr>
        <w:t xml:space="preserve">Régi ↔ új hálózat: tűzfalon keresztül (L3) vagy L2 Border handoff (ahol szükséges)</w:t>
      </w:r>
    </w:p>
    <w:p>
      <w:pPr>
        <w:pStyle w:val="Heading2"/>
        <w:spacing w:before="300" w:after="140"/>
      </w:pPr>
      <w:r>
        <w:rPr>
          <w:rFonts w:ascii="Arial" w:cs="Arial" w:eastAsia="Arial" w:hAnsi="Arial"/>
          <w:b/>
          <w:bCs/>
          <w:color w:val="2E75B6"/>
          <w:sz w:val="26"/>
          <w:szCs w:val="26"/>
        </w:rPr>
        <w:t xml:space="preserve">4.7  ISE és AAA</w:t>
      </w:r>
    </w:p>
    <w:p>
      <w:pPr>
        <w:pStyle w:val="ListParagraph"/>
        <w:numPr>
          <w:ilvl w:val="0"/>
          <w:numId w:val="2"/>
        </w:numPr>
        <w:spacing w:before="60" w:after="60"/>
      </w:pPr>
      <w:r>
        <w:rPr>
          <w:rFonts w:ascii="Arial" w:cs="Arial" w:eastAsia="Arial" w:hAnsi="Arial"/>
          <w:sz w:val="22"/>
          <w:szCs w:val="22"/>
        </w:rPr>
        <w:t xml:space="preserve">Protokollok: IEEE 802.1X (DOT1X) + MAC Authentication Bypass (MAB)</w:t>
      </w:r>
    </w:p>
    <w:p>
      <w:pPr>
        <w:pStyle w:val="ListParagraph"/>
        <w:numPr>
          <w:ilvl w:val="0"/>
          <w:numId w:val="2"/>
        </w:numPr>
        <w:spacing w:before="60" w:after="60"/>
      </w:pPr>
      <w:r>
        <w:rPr>
          <w:rFonts w:ascii="Arial" w:cs="Arial" w:eastAsia="Arial" w:hAnsi="Arial"/>
          <w:sz w:val="22"/>
          <w:szCs w:val="22"/>
        </w:rPr>
        <w:t xml:space="preserve">A meglévő ISE policy-k kiterjesztése a vezetékes hálózatra</w:t>
      </w:r>
    </w:p>
    <w:p>
      <w:pPr>
        <w:pStyle w:val="ListParagraph"/>
        <w:numPr>
          <w:ilvl w:val="0"/>
          <w:numId w:val="2"/>
        </w:numPr>
        <w:spacing w:before="60" w:after="60"/>
      </w:pPr>
      <w:r>
        <w:rPr>
          <w:rFonts w:ascii="Arial" w:cs="Arial" w:eastAsia="Arial" w:hAnsi="Arial"/>
          <w:sz w:val="22"/>
          <w:szCs w:val="22"/>
        </w:rPr>
        <w:t xml:space="preserve">ISE ↔ CC integráció: dinamikus SGT policy terjesztés</w:t>
      </w:r>
    </w:p>
    <w:p>
      <w:pPr>
        <w:pStyle w:val="ListParagraph"/>
        <w:numPr>
          <w:ilvl w:val="0"/>
          <w:numId w:val="2"/>
        </w:numPr>
        <w:spacing w:before="60" w:after="60"/>
      </w:pPr>
      <w:r>
        <w:rPr>
          <w:rFonts w:ascii="Arial" w:cs="Arial" w:eastAsia="Arial" w:hAnsi="Arial"/>
          <w:sz w:val="22"/>
          <w:szCs w:val="22"/>
        </w:rPr>
        <w:t xml:space="preserve">Részletes policy tervezés az LLD dokumentumban</w:t>
      </w:r>
    </w:p>
    <w:p>
      <w:pPr>
        <w:pStyle w:val="Heading2"/>
        <w:spacing w:before="300" w:after="140"/>
      </w:pPr>
      <w:r>
        <w:rPr>
          <w:rFonts w:ascii="Arial" w:cs="Arial" w:eastAsia="Arial" w:hAnsi="Arial"/>
          <w:b/>
          <w:bCs/>
          <w:color w:val="2E75B6"/>
          <w:sz w:val="26"/>
          <w:szCs w:val="26"/>
        </w:rPr>
        <w:t xml:space="preserve">4.8  Wifi integráció</w:t>
      </w:r>
    </w:p>
    <w:p>
      <w:pPr>
        <w:spacing w:before="80" w:after="80"/>
        <w:jc w:val="both"/>
      </w:pPr>
      <w:r>
        <w:rPr>
          <w:rFonts w:ascii="Arial" w:cs="Arial" w:eastAsia="Arial" w:hAnsi="Arial"/>
          <w:sz w:val="22"/>
          <w:szCs w:val="22"/>
        </w:rPr>
        <w:t xml:space="preserve">Over The Top (OTT) integráció: a WLC és AP-k meglévő L3 hálózaton működnek, a Wifi forgalom L3-on csatlakozik be a fabric-ba. Az SDA natív Wifi integráció opcionálisan tervezhető a projekt egy későbbi fázisában.</w:t>
      </w:r>
    </w:p>
    <w:p>
      <w:pPr>
        <w:pStyle w:val="Heading2"/>
        <w:spacing w:before="300" w:after="140"/>
      </w:pPr>
      <w:r>
        <w:rPr>
          <w:rFonts w:ascii="Arial" w:cs="Arial" w:eastAsia="Arial" w:hAnsi="Arial"/>
          <w:b/>
          <w:bCs/>
          <w:color w:val="2E75B6"/>
          <w:sz w:val="26"/>
          <w:szCs w:val="26"/>
        </w:rPr>
        <w:t xml:space="preserve">4.9  Tűzfal integráció</w:t>
      </w:r>
    </w:p>
    <w:p>
      <w:pPr>
        <w:spacing w:before="80" w:after="80"/>
        <w:jc w:val="both"/>
      </w:pPr>
      <w:r>
        <w:rPr>
          <w:rFonts w:ascii="Arial" w:cs="Arial" w:eastAsia="Arial" w:hAnsi="Arial"/>
          <w:sz w:val="22"/>
          <w:szCs w:val="22"/>
        </w:rPr>
        <w:t xml:space="preserve">Fortigate 2000E tűzfal HA párban a core Border Node eszközökkel BGP-n összekötve. Az internet edge és VPN kijárat az LLD során kerül véglegesítésre.</w:t>
      </w:r>
    </w:p>
    <w:p>
      <w:pPr>
        <w:spacing w:before="0" w:after="80"/>
      </w:pPr>
      <w:r>
        <w:t xml:space="preserve"/>
      </w:r>
    </w:p>
    <w:p>
      <w:r>
        <w:br w:type="page"/>
      </w:r>
    </w:p>
    <w:p>
      <w:pPr>
        <w:pStyle w:val="Heading1"/>
        <w:pBdr>
          <w:bottom w:val="single" w:color="2E75B6" w:sz="4" w:space="1"/>
        </w:pBdr>
        <w:spacing w:before="400" w:after="200"/>
      </w:pPr>
      <w:r>
        <w:rPr>
          <w:rFonts w:ascii="Arial" w:cs="Arial" w:eastAsia="Arial" w:hAnsi="Arial"/>
          <w:b/>
          <w:bCs/>
          <w:color w:val="1F4E79"/>
          <w:sz w:val="32"/>
          <w:szCs w:val="32"/>
        </w:rPr>
        <w:t xml:space="preserve">5  Alternatív architektúra – B opció: Routed Access (CC nélkül)</w:t>
      </w:r>
    </w:p>
    <w:p>
      <w:pPr>
        <w:spacing w:before="80" w:after="80"/>
        <w:jc w:val="both"/>
      </w:pPr>
      <w:r>
        <w:rPr>
          <w:rFonts w:ascii="Arial" w:cs="Arial" w:eastAsia="Arial" w:hAnsi="Arial"/>
          <w:sz w:val="22"/>
          <w:szCs w:val="22"/>
        </w:rPr>
        <w:t xml:space="preserve">A B opcióban Catalyst Center nélküli, hagyományos háromrétegű Routed Access architektúra kerül alkalmazásra. A fizikai topológia megegyezik az A opcióval; a logikai szegmentáció VRF alapú, a policy management manuális.</w:t>
      </w:r>
    </w:p>
    <w:p>
      <w:pPr>
        <w:pStyle w:val="Heading2"/>
        <w:spacing w:before="300" w:after="140"/>
      </w:pPr>
      <w:r>
        <w:rPr>
          <w:rFonts w:ascii="Arial" w:cs="Arial" w:eastAsia="Arial" w:hAnsi="Arial"/>
          <w:b/>
          <w:bCs/>
          <w:color w:val="2E75B6"/>
          <w:sz w:val="26"/>
          <w:szCs w:val="26"/>
        </w:rPr>
        <w:t xml:space="preserve">5.1  Fizikai topológia</w:t>
      </w:r>
    </w:p>
    <w:p>
      <w:pPr>
        <w:spacing w:before="80" w:after="80"/>
        <w:jc w:val="both"/>
      </w:pPr>
      <w:r>
        <w:rPr>
          <w:rFonts w:ascii="Arial" w:cs="Arial" w:eastAsia="Arial" w:hAnsi="Arial"/>
          <w:sz w:val="22"/>
          <w:szCs w:val="22"/>
        </w:rPr>
        <w:t xml:space="preserve">Azonos háromrétegű csillagpontos struktúra az A opcióval (Core–Disztribúció–Access), az Interconnect hálózattal és OOB menedzsmenttel. A fő eltérés a szoftver-oldalon van.</w:t>
      </w:r>
    </w:p>
    <w:p>
      <w:pPr>
        <w:spacing w:before="0" w:after="80"/>
      </w:pPr>
      <w:r>
        <w:t xml:space="preserve"/>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7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Réteg</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Eszköz</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Szerepkör</w:t>
            </w:r>
          </w:p>
        </w:tc>
        <w:tc>
          <w:tcPr>
            <w:tcW w:type="dxa" w:w="25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Licensz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C9500-48Y4C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L3 core switch, BGP tűzfal felé</w:t>
            </w:r>
          </w:p>
        </w:tc>
        <w:tc>
          <w:tcPr>
            <w:tcW w:type="dxa" w:w="2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Network Advantage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Interconnect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C9500-48Y4C / -24Y4C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Redundáns összeköttetés</w:t>
            </w:r>
          </w:p>
        </w:tc>
        <w:tc>
          <w:tcPr>
            <w:tcW w:type="dxa" w:w="2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Network Advantage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Disztribúció</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C9300X-12Y vagy C9200L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L3 határ, OSPF</w:t>
            </w:r>
          </w:p>
        </w:tc>
        <w:tc>
          <w:tcPr>
            <w:tcW w:type="dxa" w:w="2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Network Advantage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Access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C9200 / C9200L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L2 access, DOT1X</w:t>
            </w:r>
          </w:p>
        </w:tc>
        <w:tc>
          <w:tcPr>
            <w:tcW w:type="dxa" w:w="2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Network Advantage (upgrade)</w:t>
            </w:r>
          </w:p>
        </w:tc>
      </w:tr>
    </w:tbl>
    <w:p>
      <w:pPr>
        <w:pStyle w:val="Heading2"/>
        <w:spacing w:before="300" w:after="140"/>
      </w:pPr>
      <w:r>
        <w:rPr>
          <w:rFonts w:ascii="Arial" w:cs="Arial" w:eastAsia="Arial" w:hAnsi="Arial"/>
          <w:b/>
          <w:bCs/>
          <w:color w:val="2E75B6"/>
          <w:sz w:val="26"/>
          <w:szCs w:val="26"/>
        </w:rPr>
        <w:t xml:space="preserve">5.2  Logikai topológia – Routed Access</w:t>
      </w:r>
    </w:p>
    <w:p>
      <w:pPr>
        <w:spacing w:before="80" w:after="80"/>
        <w:jc w:val="both"/>
      </w:pPr>
      <w:r>
        <w:rPr>
          <w:rFonts w:ascii="Arial" w:cs="Arial" w:eastAsia="Arial" w:hAnsi="Arial"/>
          <w:sz w:val="22"/>
          <w:szCs w:val="22"/>
        </w:rPr>
        <w:t xml:space="preserve">Az L3 határ a disztribúciós rétegre tolódik. Az access switchek L2-ben üzemelnek; a VRF-ek a disztribúciós eszközökön kerülnek konfigurálásra.</w:t>
      </w:r>
    </w:p>
    <w:p>
      <w:pPr>
        <w:pStyle w:val="Heading2"/>
        <w:spacing w:before="300" w:after="140"/>
      </w:pPr>
      <w:r>
        <w:rPr>
          <w:rFonts w:ascii="Arial" w:cs="Arial" w:eastAsia="Arial" w:hAnsi="Arial"/>
          <w:b/>
          <w:bCs/>
          <w:color w:val="2E75B6"/>
          <w:sz w:val="26"/>
          <w:szCs w:val="26"/>
        </w:rPr>
        <w:t xml:space="preserve">5.3  Makró-szegmentáció – VRF</w:t>
      </w:r>
    </w:p>
    <w:p>
      <w:pPr>
        <w:spacing w:before="80" w:after="80"/>
        <w:jc w:val="both"/>
      </w:pPr>
      <w:r>
        <w:rPr>
          <w:rFonts w:ascii="Arial" w:cs="Arial" w:eastAsia="Arial" w:hAnsi="Arial"/>
          <w:sz w:val="22"/>
          <w:szCs w:val="22"/>
        </w:rPr>
        <w:t xml:space="preserve">A VN-ek helyett VRF-ek biztosítják a logikai szegmentációt. A VRF-ek megfelelnek az A opció VN-einek (Semmelweis, MedMob, IoT, Hallgato, Guest). A VRF-ek közötti forgalom a Fortigate tűzfalon keresztül valósul meg.</w:t>
      </w:r>
    </w:p>
    <w:p>
      <w:pPr>
        <w:pStyle w:val="Heading2"/>
        <w:spacing w:before="300" w:after="140"/>
      </w:pPr>
      <w:r>
        <w:rPr>
          <w:rFonts w:ascii="Arial" w:cs="Arial" w:eastAsia="Arial" w:hAnsi="Arial"/>
          <w:b/>
          <w:bCs/>
          <w:color w:val="2E75B6"/>
          <w:sz w:val="26"/>
          <w:szCs w:val="26"/>
        </w:rPr>
        <w:t xml:space="preserve">5.4  Mikró-szegmentáció – SGT</w:t>
      </w:r>
    </w:p>
    <w:p>
      <w:pPr>
        <w:spacing w:before="80" w:after="80"/>
        <w:jc w:val="both"/>
      </w:pPr>
      <w:r>
        <w:rPr>
          <w:rFonts w:ascii="Arial" w:cs="Arial" w:eastAsia="Arial" w:hAnsi="Arial"/>
          <w:sz w:val="22"/>
          <w:szCs w:val="22"/>
        </w:rPr>
        <w:t xml:space="preserve">SGT alapú mikró-szegmentáció ISE integrációval megvalósítható CC nélkül is, azonban az automatizáció szintje alacsonyabb; a policy terjesztése manuális konfigurációt igényel.</w:t>
      </w:r>
    </w:p>
    <w:p>
      <w:pPr>
        <w:pStyle w:val="Heading2"/>
        <w:spacing w:before="300" w:after="140"/>
      </w:pPr>
      <w:r>
        <w:rPr>
          <w:rFonts w:ascii="Arial" w:cs="Arial" w:eastAsia="Arial" w:hAnsi="Arial"/>
          <w:b/>
          <w:bCs/>
          <w:color w:val="2E75B6"/>
          <w:sz w:val="26"/>
          <w:szCs w:val="26"/>
        </w:rPr>
        <w:t xml:space="preserve">5.5  Routing, ISE, tűzfal</w:t>
      </w:r>
    </w:p>
    <w:p>
      <w:pPr>
        <w:pStyle w:val="ListParagraph"/>
        <w:numPr>
          <w:ilvl w:val="0"/>
          <w:numId w:val="2"/>
        </w:numPr>
        <w:spacing w:before="60" w:after="60"/>
      </w:pPr>
      <w:r>
        <w:rPr>
          <w:rFonts w:ascii="Arial" w:cs="Arial" w:eastAsia="Arial" w:hAnsi="Arial"/>
          <w:sz w:val="22"/>
          <w:szCs w:val="22"/>
        </w:rPr>
        <w:t xml:space="preserve">Routing: OSPF underlay + BGP a Border eszközök és Fortigate között</w:t>
      </w:r>
    </w:p>
    <w:p>
      <w:pPr>
        <w:pStyle w:val="ListParagraph"/>
        <w:numPr>
          <w:ilvl w:val="0"/>
          <w:numId w:val="2"/>
        </w:numPr>
        <w:spacing w:before="60" w:after="60"/>
      </w:pPr>
      <w:r>
        <w:rPr>
          <w:rFonts w:ascii="Arial" w:cs="Arial" w:eastAsia="Arial" w:hAnsi="Arial"/>
          <w:sz w:val="22"/>
          <w:szCs w:val="22"/>
        </w:rPr>
        <w:t xml:space="preserve">ISE: DOT1X + MAB – manuálisan konfigurált policy-kkal</w:t>
      </w:r>
    </w:p>
    <w:p>
      <w:pPr>
        <w:pStyle w:val="ListParagraph"/>
        <w:numPr>
          <w:ilvl w:val="0"/>
          <w:numId w:val="2"/>
        </w:numPr>
        <w:spacing w:before="60" w:after="60"/>
      </w:pPr>
      <w:r>
        <w:rPr>
          <w:rFonts w:ascii="Arial" w:cs="Arial" w:eastAsia="Arial" w:hAnsi="Arial"/>
          <w:sz w:val="22"/>
          <w:szCs w:val="22"/>
        </w:rPr>
        <w:t xml:space="preserve">Tűzfal: Fortigate 2000E – azonos az A opcióval</w:t>
      </w:r>
    </w:p>
    <w:p>
      <w:pPr>
        <w:pStyle w:val="ListParagraph"/>
        <w:numPr>
          <w:ilvl w:val="0"/>
          <w:numId w:val="2"/>
        </w:numPr>
        <w:spacing w:before="60" w:after="60"/>
      </w:pPr>
      <w:r>
        <w:rPr>
          <w:rFonts w:ascii="Arial" w:cs="Arial" w:eastAsia="Arial" w:hAnsi="Arial"/>
          <w:sz w:val="22"/>
          <w:szCs w:val="22"/>
        </w:rPr>
        <w:t xml:space="preserve">Régi ↔ új hálózat átmenet: azonos az A opcióval</w:t>
      </w:r>
    </w:p>
    <w:p>
      <w:pPr>
        <w:spacing w:before="0" w:after="80"/>
      </w:pPr>
      <w:r>
        <w:t xml:space="preserve"/>
      </w:r>
    </w:p>
    <w:p>
      <w:r>
        <w:br w:type="page"/>
      </w:r>
    </w:p>
    <w:p>
      <w:pPr>
        <w:pStyle w:val="Heading1"/>
        <w:pBdr>
          <w:bottom w:val="single" w:color="2E75B6" w:sz="4" w:space="1"/>
        </w:pBdr>
        <w:spacing w:before="400" w:after="200"/>
      </w:pPr>
      <w:r>
        <w:rPr>
          <w:rFonts w:ascii="Arial" w:cs="Arial" w:eastAsia="Arial" w:hAnsi="Arial"/>
          <w:b/>
          <w:bCs/>
          <w:color w:val="1F4E79"/>
          <w:sz w:val="32"/>
          <w:szCs w:val="32"/>
        </w:rPr>
        <w:t xml:space="preserve">6  Migrációs stratégia</w:t>
      </w:r>
    </w:p>
    <w:p>
      <w:pPr>
        <w:spacing w:before="80" w:after="80"/>
        <w:jc w:val="both"/>
      </w:pPr>
      <w:r>
        <w:rPr>
          <w:rFonts w:ascii="Arial" w:cs="Arial" w:eastAsia="Arial" w:hAnsi="Arial"/>
          <w:sz w:val="22"/>
          <w:szCs w:val="22"/>
        </w:rPr>
        <w:t xml:space="preserve">A migráció fokozatosan, telephely-csoportonként kerül végrehajtásra a szolgáltatás-folytonosság megtartása mellett. Az OM4 optikai csere párhuzamosan zajlik az érintett telephelyeken.</w:t>
      </w:r>
    </w:p>
    <w:p>
      <w:pPr>
        <w:spacing w:before="0"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000"/>
        <w:gridCol w:w="16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Fázis</w:t>
            </w:r>
          </w:p>
        </w:tc>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Tevékenység</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OM4 optika</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Időkeret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0 – Előkészítés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Optikai felmérés, LLD kidolgozása, ISE policy véglegesítése, CC/ISE staging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Felmérés befejezése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M1–M3</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 – Core kiépítés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Új C9500 core és interconnect switchek telepítése KKT-ban és BKT-ban, OOB hálózat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OM4 a core–interconnect linkeken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M3–M5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 – Pilot telephely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 kiválasztott nem kritikus telephely migrálása, OM4 csere az érintett kapcsolatokon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OM4 az érintett uplinkokon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M5–M6</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 – Kritikus telephelyek</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Klinikai (kritikus) telephelyek migrálása redundáns útvonalakkal, L2 handoff ahol szükséges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OM4 az összes cserére szorulón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M6–M12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 Többi telephely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Fennmaradó telephelyek sorozatos migrálása, VN policy aktiválása, SGT alkalmazása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OM4 csere befejezése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M12–M18</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 – Legacy leállítás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Catalyst 6500 core kivonása, végleges IP átszámozás, L2 handoff megszüntetése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Befejezve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M18–M24</w:t>
            </w:r>
          </w:p>
        </w:tc>
      </w:tr>
    </w:tbl>
    <w:p>
      <w:pPr>
        <w:spacing w:before="0" w:after="80"/>
      </w:pPr>
      <w:r>
        <w:t xml:space="preserve"/>
      </w:r>
    </w:p>
    <w:p>
      <w:r>
        <w:br w:type="page"/>
      </w:r>
    </w:p>
    <w:p>
      <w:pPr>
        <w:pStyle w:val="Heading1"/>
        <w:pBdr>
          <w:bottom w:val="single" w:color="2E75B6" w:sz="4" w:space="1"/>
        </w:pBdr>
        <w:spacing w:before="400" w:after="200"/>
      </w:pPr>
      <w:r>
        <w:rPr>
          <w:rFonts w:ascii="Arial" w:cs="Arial" w:eastAsia="Arial" w:hAnsi="Arial"/>
          <w:b/>
          <w:bCs/>
          <w:color w:val="1F4E79"/>
          <w:sz w:val="32"/>
          <w:szCs w:val="32"/>
        </w:rPr>
        <w:t xml:space="preserve">7  Kockázatelemzés</w:t>
      </w:r>
    </w:p>
    <w:p>
      <w:pPr>
        <w:spacing w:before="0" w:after="80"/>
      </w:pPr>
      <w:r>
        <w:t xml:space="preserve"/>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1000"/>
        <w:gridCol w:w="357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ID</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Kockázat</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Való-
színűség</w:t>
            </w:r>
          </w:p>
        </w:tc>
        <w:tc>
          <w:tcPr>
            <w:tcW w:type="dxa" w:w="1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Hatás</w:t>
            </w:r>
          </w:p>
        </w:tc>
        <w:tc>
          <w:tcPr>
            <w:tcW w:type="dxa" w:w="35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Mérséklés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Optikai infrastruktúra hiányosságai – több szálpár OM1/OM2 minőségű, a csere térfogata a felmérés után válik ismertté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Magas</w:t>
            </w:r>
          </w:p>
        </w:tc>
        <w:tc>
          <w:tcPr>
            <w:tcW w:type="dxa" w:w="3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Optikai felmérés mielőbbi elvégzése; OM4 csere beütemezése a migrációval párhuzamosan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Klinikai rendszerek IP-megkötései (statikus IP, nem módosítható FW szabályok) – L2 handoff szükségessége késleltetheti a migrációt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Magas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c>
          <w:tcPr>
            <w:tcW w:type="dxa" w:w="3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L2 handoff tervezése; orvosi IT egyeztetés; VLAN migráció kategorizálása (A/B/C eset)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CC bevezetési komplexitás – üzemeltetői know-how hiánya, hosszabb betanulási görbe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c>
          <w:tcPr>
            <w:tcW w:type="dxa" w:w="3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CC-specifikus képzés; gyártói PSS/CX support bevonása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Klinikai területeken bekövetkező migrációs leállás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Alacsony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Magas</w:t>
            </w:r>
          </w:p>
        </w:tc>
        <w:tc>
          <w:tcPr>
            <w:tcW w:type="dxa" w:w="3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Éjszakai/hétvégi migrációs ablakok; visszaállási (rollback) terv kidolgozása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ISE policy inkonzisztencia a régi és új hálózat párhuzamos üzemeltetésekor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c>
          <w:tcPr>
            <w:tcW w:type="dxa" w:w="3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Pilot fázisban validálás; graduális policy kiterjesztés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OM4 csere során talált nem dokumentált összeköttetések (rejtett kábelek, láncolatos topológiák)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c>
          <w:tcPr>
            <w:tcW w:type="dxa" w:w="3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Teljes helyszíni felmérés; LLD kiegészítése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Eszközbeszerzési/szállítási késedelmek – chip-hiány, közbeszerzési eljárás időigénye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c>
          <w:tcPr>
            <w:tcW w:type="dxa" w:w="3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Korai megrendelés; tartalék eszközök tervezése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Wifi OTT integráció korlátai – roaming és mobility degradáció SDA nélkül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Alacsony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c>
          <w:tcPr>
            <w:tcW w:type="dxa" w:w="3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OTT paraméterek optimalizálása; SDA-W integráció 2. fázisban</w:t>
            </w:r>
          </w:p>
        </w:tc>
      </w:tr>
    </w:tbl>
    <w:p>
      <w:pPr>
        <w:spacing w:before="0" w:after="80"/>
      </w:pPr>
      <w:r>
        <w:t xml:space="preserve"/>
      </w:r>
    </w:p>
    <w:p>
      <w:r>
        <w:br w:type="page"/>
      </w:r>
    </w:p>
    <w:p>
      <w:pPr>
        <w:pStyle w:val="Heading1"/>
        <w:pBdr>
          <w:bottom w:val="single" w:color="2E75B6" w:sz="4" w:space="1"/>
        </w:pBdr>
        <w:spacing w:before="400" w:after="200"/>
      </w:pPr>
      <w:r>
        <w:rPr>
          <w:rFonts w:ascii="Arial" w:cs="Arial" w:eastAsia="Arial" w:hAnsi="Arial"/>
          <w:b/>
          <w:bCs/>
          <w:color w:val="1F4E79"/>
          <w:sz w:val="32"/>
          <w:szCs w:val="32"/>
        </w:rPr>
        <w:t xml:space="preserve">8  Előzetes költségbecslés</w:t>
      </w:r>
    </w:p>
    <w:p>
      <w:pPr>
        <w:spacing w:before="80" w:after="80"/>
        <w:jc w:val="both"/>
      </w:pPr>
      <w:r>
        <w:rPr>
          <w:rFonts w:ascii="Arial" w:cs="Arial" w:eastAsia="Arial" w:hAnsi="Arial"/>
          <w:sz w:val="22"/>
          <w:szCs w:val="22"/>
        </w:rPr>
        <w:t xml:space="preserve">Az alábbi táblázatok az A opció (SD-Access / Catalyst Center) és a B opció (Routed Access / CC nélkül) becsült projekt-költségeit tartalmazzák. Az árak indikatívak, az aktuális Cisco ELP listaárakon és jellemző kivitelezési egységköltségeken alapulnak; a tényleges ajánlati árak a közbeszerzési/ajánlatkérési eljárás eredményétől és a tárgyalásoktól függően eltérhetnek.</w:t>
      </w:r>
    </w:p>
    <w:p>
      <w:pPr>
        <w:spacing w:before="0" w:after="80"/>
      </w:pPr>
      <w:r>
        <w:t xml:space="preserve"/>
      </w:r>
    </w:p>
    <w:p>
      <w:pPr>
        <w:shd w:fill="FFF2CC" w:val="clear"/>
        <w:spacing w:before="40" w:after="40"/>
        <w:ind w:left="360" w:right="360"/>
      </w:pPr>
      <w:r>
        <w:rPr>
          <w:rFonts w:ascii="Arial" w:cs="Arial" w:eastAsia="Arial" w:hAnsi="Arial"/>
          <w:sz w:val="21"/>
          <w:szCs w:val="21"/>
        </w:rPr>
        <w:t xml:space="preserve">  Feltételezések:</w:t>
      </w:r>
    </w:p>
    <w:p>
      <w:pPr>
        <w:shd w:fill="FFF2CC" w:val="clear"/>
        <w:spacing w:before="40" w:after="40"/>
        <w:ind w:left="360" w:right="360"/>
      </w:pPr>
      <w:r>
        <w:rPr>
          <w:rFonts w:ascii="Arial" w:cs="Arial" w:eastAsia="Arial" w:hAnsi="Arial"/>
          <w:sz w:val="21"/>
          <w:szCs w:val="21"/>
        </w:rPr>
        <w:t xml:space="preserve">  • Access switchek (C9200/C9200L): ~780 db meglévő eszköz, Essential → DNA/Network Advantage upgrade</w:t>
      </w:r>
    </w:p>
    <w:p>
      <w:pPr>
        <w:shd w:fill="FFF2CC" w:val="clear"/>
        <w:spacing w:before="40" w:after="40"/>
        <w:ind w:left="360" w:right="360"/>
      </w:pPr>
      <w:r>
        <w:rPr>
          <w:rFonts w:ascii="Arial" w:cs="Arial" w:eastAsia="Arial" w:hAnsi="Arial"/>
          <w:sz w:val="21"/>
          <w:szCs w:val="21"/>
        </w:rPr>
        <w:t xml:space="preserve">  • Disztribúciós switchek: ~70 db új C9300X-12Y (LLD pontosítja)</w:t>
      </w:r>
    </w:p>
    <w:p>
      <w:pPr>
        <w:shd w:fill="FFF2CC" w:val="clear"/>
        <w:spacing w:before="40" w:after="40"/>
        <w:ind w:left="360" w:right="360"/>
      </w:pPr>
      <w:r>
        <w:rPr>
          <w:rFonts w:ascii="Arial" w:cs="Arial" w:eastAsia="Arial" w:hAnsi="Arial"/>
          <w:sz w:val="21"/>
          <w:szCs w:val="21"/>
        </w:rPr>
        <w:t xml:space="preserve">  • OM4 csere: ~200 szálpár, ~7,5 km becsült összesített kábelhossz</w:t>
      </w:r>
    </w:p>
    <w:p>
      <w:pPr>
        <w:shd w:fill="FFF2CC" w:val="clear"/>
        <w:spacing w:before="40" w:after="40"/>
        <w:ind w:left="360" w:right="360"/>
      </w:pPr>
      <w:r>
        <w:rPr>
          <w:rFonts w:ascii="Arial" w:cs="Arial" w:eastAsia="Arial" w:hAnsi="Arial"/>
          <w:sz w:val="21"/>
          <w:szCs w:val="21"/>
        </w:rPr>
        <w:t xml:space="preserve">  • Árak EUR-ban, ~400 HUF/EUR árfolyamon</w:t>
      </w:r>
    </w:p>
    <w:p>
      <w:pPr>
        <w:shd w:fill="FFF2CC" w:val="clear"/>
        <w:spacing w:before="40" w:after="40"/>
        <w:ind w:left="360" w:right="360"/>
      </w:pPr>
      <w:r>
        <w:rPr>
          <w:rFonts w:ascii="Arial" w:cs="Arial" w:eastAsia="Arial" w:hAnsi="Arial"/>
          <w:sz w:val="21"/>
          <w:szCs w:val="21"/>
        </w:rPr>
        <w:t xml:space="preserve">  • 3 éves licensz időszak</w:t>
      </w:r>
    </w:p>
    <w:p>
      <w:pPr>
        <w:shd w:fill="FFF2CC" w:val="clear"/>
        <w:spacing w:before="40" w:after="40"/>
        <w:ind w:left="360" w:right="360"/>
      </w:pPr>
      <w:r>
        <w:rPr>
          <w:rFonts w:ascii="Arial" w:cs="Arial" w:eastAsia="Arial" w:hAnsi="Arial"/>
          <w:sz w:val="21"/>
          <w:szCs w:val="21"/>
        </w:rPr>
        <w:t xml:space="preserve">  • Gyártói CX/PSS implementációs support beleszámítva</w:t>
      </w:r>
    </w:p>
    <w:p>
      <w:pPr>
        <w:spacing w:before="0" w:after="80"/>
      </w:pPr>
      <w:r>
        <w:t xml:space="preserve"/>
      </w:r>
    </w:p>
    <w:p>
      <w:pPr>
        <w:pStyle w:val="Heading2"/>
        <w:spacing w:before="300" w:after="140"/>
      </w:pPr>
      <w:r>
        <w:rPr>
          <w:rFonts w:ascii="Arial" w:cs="Arial" w:eastAsia="Arial" w:hAnsi="Arial"/>
          <w:b/>
          <w:bCs/>
          <w:color w:val="2E75B6"/>
          <w:sz w:val="26"/>
          <w:szCs w:val="26"/>
        </w:rPr>
        <w:t xml:space="preserve">8.1  A opció – SD-Access / Catalyst Center</w:t>
      </w:r>
    </w:p>
    <w:p>
      <w:pPr>
        <w:spacing w:before="0"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000"/>
        <w:gridCol w:w="1400"/>
        <w:gridCol w:w="1500"/>
        <w:gridCol w:w="9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Kategória</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Tétel</w:t>
            </w:r>
          </w:p>
        </w:tc>
        <w:tc>
          <w:tcPr>
            <w:tcW w:type="dxa" w:w="1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Mennyiség</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Egységár (EUR)</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Összeg (EUR)</w:t>
            </w:r>
          </w:p>
        </w:tc>
        <w:tc>
          <w:tcPr>
            <w:tcW w:type="dxa" w:w="9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Összeg (M HUF)</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HARDVER</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Core switch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C9500-48Y4C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52 000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208 000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83,2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Interconnect switch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C9500-24Y4C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38 000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152 000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60,8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Disztribúciós switch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C9300X-12Y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70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9 500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665 000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266,0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Tűzfal (HA pár)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Fortigate 2000E ×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75 000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150 000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OOB switch + console device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C9200 + console srv.</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 helyszín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6 000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4,8</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Hardver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1 187 000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474,8</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LICENSZEK – ÚJ ESZKÖZÖK</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Core C9500 DNA Adv.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DNA Advantage 3Y / sw.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28 000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112 000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44,8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Interconnect C9500 DNA Adv.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DNA Advantage 3Y / sw.</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22 000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88 000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35,2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Disztribúció C9300X DNA Adv.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DNA Advantage 3Y / sw.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70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294 000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117,6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Catalyst Center appliance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CC Appliance cluster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 cluster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145 000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145 000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ISE licens bővítés/Plus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ISE Plus 3Y (800 endpoint)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800 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96 000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38,4</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Új eszköz licensz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735 000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294,0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LICENSZEK – MEGLÉVŐ C9200/C9200L UPGRADE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C9200 Essential → DNA Adv.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DNA Advantage 3Y / sw.</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320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102 400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C9200L Essential → DNA Adv.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DNA Advantage 3Y / sw.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460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128 800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51,5</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Licensz upgrade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231 200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92,5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OPTIKAI INFRASTRUKTÚRA – OM4 CSERE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OM4 kábel anyag (50/125)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OM4 LC-LC patch/trunk kábel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~7 500 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30 000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Optikai befűzés, hegesztés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Helyszíni szerelési munka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~200 futás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90 000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36,0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Mérés, dokumentálás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OTDR mérés + dokumentáció</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~40 helyszín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24 000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9,6</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OM4 csere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144 000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57,6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SFP / OPTIKAI MODULOK</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100G QSFP28 SR4 (MMF)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Core–Interconnect linkek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48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1 200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57 600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23,0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25G SFP28 SR (MMF)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Interconnect–Disztri uplink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280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280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78 400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10G SFP+ LR (SMF)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Disztri–Access uplink (SMF)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140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25 200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10,1</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SFP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161 200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64,5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IMPLEMENTÁCIÓ ÉS PROJEKT MENEDZSMENT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CX / PSS support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Tervezés, deploy, handover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 projekt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180 000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180 000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Helyi integrátor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Helyszíni telepítés, kábelezés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 projekt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100 000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100 000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Projektmenedzsment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PM + PMO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24 hó</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96 000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38,4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Oktatás / képzés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CC, ISE, tűzfal admin képzés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 fő</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3 500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17 500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7,0</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Implementáció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393 500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157,4</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A OPCIÓ VÉGÖSSZEG (nettó)</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2 851 900 EUR</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~1 141 M HUF</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A OPCIÓ VÉGÖSSZEG (+27% ÁFA)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3 621 913 EUR</w:t>
            </w:r>
          </w:p>
        </w:tc>
        <w:tc>
          <w:tcPr>
            <w:tcW w:type="dxa" w:w="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~1 449 M HUF</w:t>
            </w:r>
          </w:p>
        </w:tc>
      </w:tr>
    </w:tbl>
    <w:p>
      <w:pPr>
        <w:spacing w:before="0" w:after="80"/>
      </w:pPr>
      <w:r>
        <w:t xml:space="preserve"/>
      </w:r>
    </w:p>
    <w:p>
      <w:pPr>
        <w:spacing w:before="60" w:after="60"/>
        <w:ind w:left="360"/>
      </w:pPr>
      <w:r>
        <w:rPr>
          <w:rFonts w:ascii="Arial" w:cs="Arial" w:eastAsia="Arial" w:hAnsi="Arial"/>
          <w:b/>
          <w:bCs/>
          <w:i/>
          <w:iCs/>
          <w:color w:val="595959"/>
          <w:sz w:val="20"/>
          <w:szCs w:val="20"/>
        </w:rPr>
        <w:t xml:space="preserve">Megjegyzés: </w:t>
      </w:r>
      <w:r>
        <w:rPr>
          <w:rFonts w:ascii="Arial" w:cs="Arial" w:eastAsia="Arial" w:hAnsi="Arial"/>
          <w:i/>
          <w:iCs/>
          <w:color w:val="595959"/>
          <w:sz w:val="20"/>
          <w:szCs w:val="20"/>
        </w:rPr>
        <w:t xml:space="preserve">A C9200/C9200L DNA Advantage upgrade (~92,5 M HUF nettó) és az OM4 csere (~57,6 M HUF nettó) mindkét opcióban felmerülő kötelező tétel.</w:t>
      </w:r>
    </w:p>
    <w:p>
      <w:pPr>
        <w:spacing w:before="0" w:after="80"/>
      </w:pPr>
      <w:r>
        <w:t xml:space="preserve"/>
      </w:r>
    </w:p>
    <w:p>
      <w:r>
        <w:br w:type="page"/>
      </w:r>
    </w:p>
    <w:p>
      <w:pPr>
        <w:pStyle w:val="Heading2"/>
        <w:spacing w:before="300" w:after="140"/>
      </w:pPr>
      <w:r>
        <w:rPr>
          <w:rFonts w:ascii="Arial" w:cs="Arial" w:eastAsia="Arial" w:hAnsi="Arial"/>
          <w:b/>
          <w:bCs/>
          <w:color w:val="2E75B6"/>
          <w:sz w:val="26"/>
          <w:szCs w:val="26"/>
        </w:rPr>
        <w:t xml:space="preserve">8.2  B opció – Routed Access (Catalyst Center nélkül)</w:t>
      </w:r>
    </w:p>
    <w:p>
      <w:pPr>
        <w:spacing w:before="0"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000"/>
        <w:gridCol w:w="1400"/>
        <w:gridCol w:w="1500"/>
        <w:gridCol w:w="9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Kategória</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Tétel</w:t>
            </w:r>
          </w:p>
        </w:tc>
        <w:tc>
          <w:tcPr>
            <w:tcW w:type="dxa" w:w="1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Mennyiség</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Egységár (EUR)</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Összeg (EUR)</w:t>
            </w:r>
          </w:p>
        </w:tc>
        <w:tc>
          <w:tcPr>
            <w:tcW w:type="dxa" w:w="9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Összeg (M HUF)</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HARDVER</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Core switch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C9500-48Y4C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52 000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208 000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83,2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Interconnect switch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C9500-24Y4C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38 000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152 000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60,8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Disztribúciós switch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C9300X-12Y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70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9 500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665 000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266,0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Tűzfal (HA pár)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Fortigate 2000E ×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75 000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150 000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OOB switch + console device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C9200 + console srv.</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 helyszín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6 000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4,8</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Hardver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1 187 000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474,8</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LICENSZEK – ÚJ ESZKÖZÖK</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Core C9500 NW Adv.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Network Advantage 3Y / sw.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18 000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72 000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28,8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Interconnect C9500 NW Adv.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Network Advantage 3Y / sw.</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14 000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56 000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Disztribúció C9300X NW Adv.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Network Advantage 3Y / sw.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70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2 800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196 000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78,4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ISE licens bővítés/Plus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ISE Plus 3Y (800 endpoint)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800 ep.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96 000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38,4</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Új eszköz licensz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420 000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168,0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LICENSZEK – MEGLÉVŐ C9200/C9200L UPGRADE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C9200 Essential → NW Adv.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Network Advantage 3Y / sw.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320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70 400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28,2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C9200L Essential → NW Adv.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Network Advantage 3Y / sw.</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460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190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87 400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35,0</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Licensz upgrade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157 800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63,1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OPTIKAI INFRASTRUKTÚRA – OM4 CSERE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OM4 kábel anyag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OM4 LC-LC kábel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~7 500 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30 000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Optikai befűzés, hegesztés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Helyszíni szerelési munka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~200 futás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90 000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Mérés, dokumentálás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OTDR mérés + dokumentáció</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~40 helyszín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24 000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9,6</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OM4 csere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144 000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57,6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SFP / OPTIKAI MODULOK</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100G QSFP28 SR4 (MMF)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Core–Interconnect linkek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48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1 200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57 600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25G SFP28 SR (MMF)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Interconnect–Disztri uplink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280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78 400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31,4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10G SFP+ LR (SMF)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Disztri–Access uplink (SMF)</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140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180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25 200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10,1</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SFP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161 200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64,5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IMPLEMENTÁCIÓ ÉS PROJEKT MENEDZSMENT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Cisco PSS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Tervezés, deploy, handover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 projekt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120 000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120 000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48,0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Helyi integrátor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Helyszíni telepítés, kábelezés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 projekt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100 000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100 000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Projektmenedzsment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PM + PMO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24 hó</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4 000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96 000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38,4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Oktatás / képzés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ISE, tűzfal, routing admin képzés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 fő</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2 500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12 500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5,0</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Implementáció részösszeg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328 500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131,4</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B OPCIÓ VÉGÖSSZEG (nettó)</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2 398 500 EUR</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~959 M HUF</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B OPCIÓ VÉGÖSSZEG (+27% ÁFA)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
            </w:r>
          </w:p>
        </w:tc>
        <w:tc>
          <w:tcPr>
            <w:tcW w:type="dxa" w:w="1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3 046 095 EUR</w:t>
            </w:r>
          </w:p>
        </w:tc>
        <w:tc>
          <w:tcPr>
            <w:tcW w:type="dxa" w:w="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~1 218 M HUF</w:t>
            </w:r>
          </w:p>
        </w:tc>
      </w:tr>
    </w:tbl>
    <w:p>
      <w:pPr>
        <w:spacing w:before="0" w:after="80"/>
      </w:pPr>
      <w:r>
        <w:t xml:space="preserve"/>
      </w:r>
    </w:p>
    <w:p>
      <w:r>
        <w:br w:type="page"/>
      </w:r>
    </w:p>
    <w:p>
      <w:pPr>
        <w:pStyle w:val="Heading2"/>
        <w:spacing w:before="300" w:after="140"/>
      </w:pPr>
      <w:r>
        <w:rPr>
          <w:rFonts w:ascii="Arial" w:cs="Arial" w:eastAsia="Arial" w:hAnsi="Arial"/>
          <w:b/>
          <w:bCs/>
          <w:color w:val="2E75B6"/>
          <w:sz w:val="26"/>
          <w:szCs w:val="26"/>
        </w:rPr>
        <w:t xml:space="preserve">8.3  Összehasonlítás – A vs B opció</w:t>
      </w:r>
    </w:p>
    <w:p>
      <w:pPr>
        <w:spacing w:before="0" w:after="80"/>
      </w:pPr>
      <w:r>
        <w:t xml:space="preserve"/>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7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Költségtétel</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 opció – SD-Access (EUR)</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 opció – Routed Access (EUR)</w:t>
            </w:r>
          </w:p>
        </w:tc>
        <w:tc>
          <w:tcPr>
            <w:tcW w:type="dxa" w:w="25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Különbség (EUR)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Hardver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1 187 000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1 187 000</w:t>
            </w:r>
          </w:p>
        </w:tc>
        <w:tc>
          <w:tcPr>
            <w:tcW w:type="dxa" w:w="2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Licenszek – új eszközök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735 000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420 000</w:t>
            </w:r>
          </w:p>
        </w:tc>
        <w:tc>
          <w:tcPr>
            <w:tcW w:type="dxa" w:w="2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+315 000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Licenszek – C9200 upgrade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231 200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157 800</w:t>
            </w:r>
          </w:p>
        </w:tc>
        <w:tc>
          <w:tcPr>
            <w:tcW w:type="dxa" w:w="2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+73 400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OM4 optikai csere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144 000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144 000</w:t>
            </w:r>
          </w:p>
        </w:tc>
        <w:tc>
          <w:tcPr>
            <w:tcW w:type="dxa" w:w="2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SFP / optikai modulok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161 200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161 200</w:t>
            </w:r>
          </w:p>
        </w:tc>
        <w:tc>
          <w:tcPr>
            <w:tcW w:type="dxa" w:w="2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Implementáció / PM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393 500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328 500</w:t>
            </w:r>
          </w:p>
        </w:tc>
        <w:tc>
          <w:tcPr>
            <w:tcW w:type="dxa" w:w="2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+65 000</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VÉGÖSSZEG (nettó)</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2 851 900 EUR</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2 398 500 EUR</w:t>
            </w:r>
          </w:p>
        </w:tc>
        <w:tc>
          <w:tcPr>
            <w:tcW w:type="dxa" w:w="257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+453 400 EUR</w:t>
            </w:r>
          </w:p>
        </w:tc>
      </w:tr>
      <w:tr>
        <w:tc>
          <w:tcPr>
            <w:tcW w:type="dxa" w:w="2800"/>
            <w:tcBorders>
              <w:top w:val="single" w:color="CCCCCC" w:sz="1"/>
              <w:left w:val="single" w:color="CCCCCC" w:sz="1"/>
              <w:bottom w:val="single" w:color="CCCCCC" w:sz="1"/>
              <w:right w:val="single" w:color="CCCCCC" w:sz="1"/>
            </w:tcBorders>
            <w:shd w:fill="AED6F1"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VÉGÖSSZEG (+27% ÁFA)</w:t>
            </w:r>
          </w:p>
        </w:tc>
        <w:tc>
          <w:tcPr>
            <w:tcW w:type="dxa" w:w="2000"/>
            <w:tcBorders>
              <w:top w:val="single" w:color="CCCCCC" w:sz="1"/>
              <w:left w:val="single" w:color="CCCCCC" w:sz="1"/>
              <w:bottom w:val="single" w:color="CCCCCC" w:sz="1"/>
              <w:right w:val="single" w:color="CCCCCC" w:sz="1"/>
            </w:tcBorders>
            <w:shd w:fill="AED6F1"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3 621 913 EUR (~1 449 M HUF)</w:t>
            </w:r>
          </w:p>
        </w:tc>
        <w:tc>
          <w:tcPr>
            <w:tcW w:type="dxa" w:w="2000"/>
            <w:tcBorders>
              <w:top w:val="single" w:color="CCCCCC" w:sz="1"/>
              <w:left w:val="single" w:color="CCCCCC" w:sz="1"/>
              <w:bottom w:val="single" w:color="CCCCCC" w:sz="1"/>
              <w:right w:val="single" w:color="CCCCCC" w:sz="1"/>
            </w:tcBorders>
            <w:shd w:fill="AED6F1"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3 046 095 EUR (~1 218 M HUF)</w:t>
            </w:r>
          </w:p>
        </w:tc>
        <w:tc>
          <w:tcPr>
            <w:tcW w:type="dxa" w:w="2570"/>
            <w:tcBorders>
              <w:top w:val="single" w:color="CCCCCC" w:sz="1"/>
              <w:left w:val="single" w:color="CCCCCC" w:sz="1"/>
              <w:bottom w:val="single" w:color="CCCCCC" w:sz="1"/>
              <w:right w:val="single" w:color="CCCCCC" w:sz="1"/>
            </w:tcBorders>
            <w:shd w:fill="AED6F1" w:val="clear"/>
            <w:tcMar>
              <w:top w:type="dxa" w:w="80"/>
              <w:left w:type="dxa" w:w="140"/>
              <w:bottom w:type="dxa" w:w="80"/>
              <w:right w:type="dxa" w:w="140"/>
            </w:tcMar>
            <w:vAlign w:val="center"/>
          </w:tcPr>
          <w:p>
            <w:pPr>
              <w:jc w:val="left"/>
            </w:pPr>
            <w:r>
              <w:rPr>
                <w:rFonts w:ascii="Arial" w:cs="Arial" w:eastAsia="Arial" w:hAnsi="Arial"/>
                <w:b/>
                <w:bCs/>
                <w:sz w:val="19"/>
                <w:szCs w:val="19"/>
              </w:rPr>
              <w:t xml:space="preserve">+575 818 EUR (~+231 M HUF)</w:t>
            </w:r>
          </w:p>
        </w:tc>
      </w:tr>
    </w:tbl>
    <w:p>
      <w:pPr>
        <w:spacing w:before="0" w:after="80"/>
      </w:pPr>
      <w:r>
        <w:t xml:space="preserve"/>
      </w:r>
    </w:p>
    <w:p>
      <w:pPr>
        <w:shd w:fill="E2EFDA" w:val="clear"/>
        <w:spacing w:before="40" w:after="40"/>
        <w:ind w:left="360" w:right="360"/>
      </w:pPr>
      <w:r>
        <w:rPr>
          <w:rFonts w:ascii="Arial" w:cs="Arial" w:eastAsia="Arial" w:hAnsi="Arial"/>
          <w:sz w:val="21"/>
          <w:szCs w:val="21"/>
        </w:rPr>
        <w:t xml:space="preserve">  Az A opció (SD-Access) ~453 ezer EUR-val (nettó) drágább a B opciónál.</w:t>
      </w:r>
    </w:p>
    <w:p>
      <w:pPr>
        <w:shd w:fill="E2EFDA" w:val="clear"/>
        <w:spacing w:before="40" w:after="40"/>
        <w:ind w:left="360" w:right="360"/>
      </w:pPr>
      <w:r>
        <w:rPr>
          <w:rFonts w:ascii="Arial" w:cs="Arial" w:eastAsia="Arial" w:hAnsi="Arial"/>
          <w:sz w:val="21"/>
          <w:szCs w:val="21"/>
        </w:rPr>
        <w:t xml:space="preserve">  A különbség fő forrása a Catalyst Center appliance (~145 ezer EUR) és a magasabb DNA Advantage licensz szint.</w:t>
      </w:r>
    </w:p>
    <w:p>
      <w:pPr>
        <w:shd w:fill="E2EFDA" w:val="clear"/>
        <w:spacing w:before="40" w:after="40"/>
        <w:ind w:left="360" w:right="360"/>
      </w:pPr>
      <w:r>
        <w:rPr>
          <w:rFonts w:ascii="Arial" w:cs="Arial" w:eastAsia="Arial" w:hAnsi="Arial"/>
          <w:sz w:val="21"/>
          <w:szCs w:val="21"/>
        </w:rPr>
        <w:t xml:space="preserve">  Az A opció az automatizáció, láthatóság, zero-trust szegmentáció és jövőállóság tekintetében</w:t>
      </w:r>
    </w:p>
    <w:p>
      <w:pPr>
        <w:shd w:fill="E2EFDA" w:val="clear"/>
        <w:spacing w:before="40" w:after="40"/>
        <w:ind w:left="360" w:right="360"/>
      </w:pPr>
      <w:r>
        <w:rPr>
          <w:rFonts w:ascii="Arial" w:cs="Arial" w:eastAsia="Arial" w:hAnsi="Arial"/>
          <w:sz w:val="21"/>
          <w:szCs w:val="21"/>
        </w:rPr>
        <w:t xml:space="preserve">  szignifikánsan több értéket biztosít, amelyek hosszú távon üzemeltetési megtakarítást eredményeznek.</w:t>
      </w:r>
    </w:p>
    <w:p>
      <w:pPr>
        <w:spacing w:before="0" w:after="80"/>
      </w:pPr>
      <w:r>
        <w:t xml:space="preserve"/>
      </w:r>
    </w:p>
    <w:p>
      <w:pPr>
        <w:pStyle w:val="Heading2"/>
        <w:spacing w:before="300" w:after="140"/>
      </w:pPr>
      <w:r>
        <w:rPr>
          <w:rFonts w:ascii="Arial" w:cs="Arial" w:eastAsia="Arial" w:hAnsi="Arial"/>
          <w:b/>
          <w:bCs/>
          <w:color w:val="2E75B6"/>
          <w:sz w:val="26"/>
          <w:szCs w:val="26"/>
        </w:rPr>
        <w:t xml:space="preserve">8.4  Megjegyzések a költségbecsléshez</w:t>
      </w:r>
    </w:p>
    <w:p>
      <w:pPr>
        <w:pStyle w:val="ListParagraph"/>
        <w:numPr>
          <w:ilvl w:val="0"/>
          <w:numId w:val="2"/>
        </w:numPr>
        <w:spacing w:before="60" w:after="60"/>
      </w:pPr>
      <w:r>
        <w:rPr>
          <w:rFonts w:ascii="Arial" w:cs="Arial" w:eastAsia="Arial" w:hAnsi="Arial"/>
          <w:sz w:val="22"/>
          <w:szCs w:val="22"/>
        </w:rPr>
        <w:t xml:space="preserve">Az árak nettó, HÉA nélküli indikatív listaárak; a tényleges közbeszerzési árak ettől eltérhetnek.</w:t>
      </w:r>
    </w:p>
    <w:p>
      <w:pPr>
        <w:pStyle w:val="ListParagraph"/>
        <w:numPr>
          <w:ilvl w:val="0"/>
          <w:numId w:val="2"/>
        </w:numPr>
        <w:spacing w:before="60" w:after="60"/>
      </w:pPr>
      <w:r>
        <w:rPr>
          <w:rFonts w:ascii="Arial" w:cs="Arial" w:eastAsia="Arial" w:hAnsi="Arial"/>
          <w:sz w:val="22"/>
          <w:szCs w:val="22"/>
        </w:rPr>
        <w:t xml:space="preserve">A C9200/C9200L licensz upgrade (~92 M HUF nettó az A opcióban) akkor szükséges, ha az SD-Access Edge/Extended Node funkciókhoz DNA Advantage szükséges. Ha az eszköz nem kerül a fabric-ba (pl. Extended Node limited mód), olcsóbb licensz is elegendő lehet.</w:t>
      </w:r>
    </w:p>
    <w:p>
      <w:pPr>
        <w:pStyle w:val="ListParagraph"/>
        <w:numPr>
          <w:ilvl w:val="0"/>
          <w:numId w:val="2"/>
        </w:numPr>
        <w:spacing w:before="60" w:after="60"/>
      </w:pPr>
      <w:r>
        <w:rPr>
          <w:rFonts w:ascii="Arial" w:cs="Arial" w:eastAsia="Arial" w:hAnsi="Arial"/>
          <w:sz w:val="22"/>
          <w:szCs w:val="22"/>
        </w:rPr>
        <w:t xml:space="preserve">Az OM4 optikai csere költsége (~57,6 M HUF) az optikai felmérés elvégzése után pontosítandó – a tényleges szálpárok száma és a helyszíni munkadíj a felmérés alapján változhat.</w:t>
      </w:r>
    </w:p>
    <w:p>
      <w:pPr>
        <w:pStyle w:val="ListParagraph"/>
        <w:numPr>
          <w:ilvl w:val="0"/>
          <w:numId w:val="2"/>
        </w:numPr>
        <w:spacing w:before="60" w:after="60"/>
      </w:pPr>
      <w:r>
        <w:rPr>
          <w:rFonts w:ascii="Arial" w:cs="Arial" w:eastAsia="Arial" w:hAnsi="Arial"/>
          <w:sz w:val="22"/>
          <w:szCs w:val="22"/>
        </w:rPr>
        <w:t xml:space="preserve">Az implementációs költség magában foglalja a Cisco PSS/CX gyártói support díját; alternatívaként Cisco Authorized Partner által végzett implementáció esetén az arány eltolódhat.</w:t>
      </w:r>
    </w:p>
    <w:p>
      <w:pPr>
        <w:pStyle w:val="ListParagraph"/>
        <w:numPr>
          <w:ilvl w:val="0"/>
          <w:numId w:val="2"/>
        </w:numPr>
        <w:spacing w:before="60" w:after="60"/>
      </w:pPr>
      <w:r>
        <w:rPr>
          <w:rFonts w:ascii="Arial" w:cs="Arial" w:eastAsia="Arial" w:hAnsi="Arial"/>
          <w:sz w:val="22"/>
          <w:szCs w:val="22"/>
        </w:rPr>
        <w:t xml:space="preserve">Az éves üzemeltetési (OPEX) költségek (support megújítások, SmartNet) nem szerepelnek a fenti táblázatban – ezek a végösszeg ~15–20%-ára becsülhetők évente.</w:t>
      </w:r>
    </w:p>
    <w:p>
      <w:pPr>
        <w:spacing w:before="0" w:after="80"/>
      </w:pPr>
      <w:r>
        <w:t xml:space="preserve"/>
      </w:r>
    </w:p>
    <w:p>
      <w:r>
        <w:br w:type="page"/>
      </w:r>
    </w:p>
    <w:p>
      <w:pPr>
        <w:pStyle w:val="Heading1"/>
        <w:pBdr>
          <w:bottom w:val="single" w:color="2E75B6" w:sz="4" w:space="1"/>
        </w:pBdr>
        <w:spacing w:before="400" w:after="200"/>
      </w:pPr>
      <w:r>
        <w:rPr>
          <w:rFonts w:ascii="Arial" w:cs="Arial" w:eastAsia="Arial" w:hAnsi="Arial"/>
          <w:b/>
          <w:bCs/>
          <w:color w:val="1F4E79"/>
          <w:sz w:val="32"/>
          <w:szCs w:val="32"/>
        </w:rPr>
        <w:t xml:space="preserve">9  Következő lépések</w:t>
      </w:r>
    </w:p>
    <w:p>
      <w:pPr>
        <w:spacing w:before="0" w:after="80"/>
      </w:pPr>
      <w:r>
        <w:t xml:space="preserve"/>
      </w:r>
    </w:p>
    <w:tbl>
      <w:tblPr>
        <w:tblW w:type="dxa" w:w="837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200"/>
        <w:gridCol w:w="157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4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Feladat</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Felelős</w:t>
            </w:r>
          </w:p>
        </w:tc>
        <w:tc>
          <w:tcPr>
            <w:tcW w:type="dxa" w:w="157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Prioritás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Optikai felmérés befejezése – pontos OM-minőség, szálpárszámok, útvonalak dokumentálása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IT / Optikai alvállalkozó</w:t>
            </w:r>
          </w:p>
        </w:tc>
        <w:tc>
          <w:tcPr>
            <w:tcW w:type="dxa" w:w="1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Kritikus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Architekturális döntés: A opció (SD-Access) vagy B opció (Routed Access) jóváhagyása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Vezetőség / IT</w:t>
            </w:r>
          </w:p>
        </w:tc>
        <w:tc>
          <w:tcPr>
            <w:tcW w:type="dxa" w:w="1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Kritikus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LLD (Low Level Design) kidolgozása – eszköz-szintű konfiguráció, IP-terv, VLAN tábla, SFP lista, OM4 csere ütem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Tervező</w:t>
            </w:r>
          </w:p>
        </w:tc>
        <w:tc>
          <w:tcPr>
            <w:tcW w:type="dxa" w:w="1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Magas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ISE policy tervezés – DOT1X/MAB policy-k, SGT mátrix véglegesítése, meglévő policy felülvizsgálata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IT / Cisco</w:t>
            </w:r>
          </w:p>
        </w:tc>
        <w:tc>
          <w:tcPr>
            <w:tcW w:type="dxa" w:w="1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Magas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Pilot telephely kiválasztása és részletes migrációs terv kidolgozása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IT</w:t>
            </w:r>
          </w:p>
        </w:tc>
        <w:tc>
          <w:tcPr>
            <w:tcW w:type="dxa" w:w="1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Magas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Közbeszerzési eljárás indítása – eszközök, licenszek, implementációs szolgáltatás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Beszerző / Jogi</w:t>
            </w:r>
          </w:p>
        </w:tc>
        <w:tc>
          <w:tcPr>
            <w:tcW w:type="dxa" w:w="1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Magas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Catalyst Center és ISE staging/tesztkörnyezet felállítása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IT / Cisco</w:t>
            </w:r>
          </w:p>
        </w:tc>
        <w:tc>
          <w:tcPr>
            <w:tcW w:type="dxa" w:w="1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8</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Klinikai IT egyeztetés – statikus IP-k, L2 handoff igények, VLAN migráció A/B/C kategorizálás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IT + Klinikai IT</w:t>
            </w:r>
          </w:p>
        </w:tc>
        <w:tc>
          <w:tcPr>
            <w:tcW w:type="dxa" w:w="15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Migrációs részterv jóváhagyása (fázisonként)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SOTE Projektmenedzsment</w:t>
            </w:r>
          </w:p>
        </w:tc>
        <w:tc>
          <w:tcPr>
            <w:tcW w:type="dxa" w:w="15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9"/>
                <w:szCs w:val="19"/>
              </w:rPr>
              <w:t xml:space="preserve">Közepes</w:t>
            </w:r>
          </w:p>
        </w:tc>
      </w:tr>
    </w:tbl>
    <w:p>
      <w:pPr>
        <w:spacing w:before="0" w:after="80"/>
      </w:pPr>
      <w:r>
        <w:t xml:space="preserve"/>
      </w:r>
    </w:p>
    <w:p>
      <w:pPr>
        <w:spacing w:before="0" w:after="80"/>
      </w:pPr>
      <w:r>
        <w:t xml:space="preserve"/>
      </w:r>
    </w:p>
    <w:p>
      <w:pPr>
        <w:shd w:fill="FFF2CC" w:val="clear"/>
        <w:spacing w:before="40" w:after="40"/>
        <w:ind w:left="360" w:right="360"/>
      </w:pPr>
      <w:r>
        <w:rPr>
          <w:rFonts w:ascii="Arial" w:cs="Arial" w:eastAsia="Arial" w:hAnsi="Arial"/>
          <w:sz w:val="21"/>
          <w:szCs w:val="21"/>
        </w:rPr>
        <w:t xml:space="preserve">  Ez a dokumentum (v1.1) a HLD tervezési folyamat kiterjesztett eredménye.</w:t>
      </w:r>
    </w:p>
    <w:p>
      <w:pPr>
        <w:shd w:fill="FFF2CC" w:val="clear"/>
        <w:spacing w:before="40" w:after="40"/>
        <w:ind w:left="360" w:right="360"/>
      </w:pPr>
      <w:r>
        <w:rPr>
          <w:rFonts w:ascii="Arial" w:cs="Arial" w:eastAsia="Arial" w:hAnsi="Arial"/>
          <w:sz w:val="21"/>
          <w:szCs w:val="21"/>
        </w:rPr>
        <w:t xml:space="preserve">  A benne szereplő adatok és árak indikatívak; az optikai felmérés és az LLD elkészítése</w:t>
      </w:r>
    </w:p>
    <w:p>
      <w:pPr>
        <w:shd w:fill="FFF2CC" w:val="clear"/>
        <w:spacing w:before="40" w:after="40"/>
        <w:ind w:left="360" w:right="360"/>
      </w:pPr>
      <w:r>
        <w:rPr>
          <w:rFonts w:ascii="Arial" w:cs="Arial" w:eastAsia="Arial" w:hAnsi="Arial"/>
          <w:sz w:val="21"/>
          <w:szCs w:val="21"/>
        </w:rPr>
        <w:t xml:space="preserve">  után pontosításra szorulnak. A dokumentum belső, bizalmas iratnak minősül.</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jc w:val="center"/>
    </w:pPr>
    <w:r>
      <w:rPr>
        <w:rFonts w:ascii="Arial" w:cs="Arial" w:eastAsia="Arial" w:hAnsi="Arial"/>
        <w:color w:val="808080"/>
        <w:sz w:val="18"/>
        <w:szCs w:val="18"/>
      </w:rPr>
      <w:t xml:space="preserve">© Semmelweis Egyetem IT  |  HLD v1.1  |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360"/>
      </w:tabs>
    </w:pPr>
    <w:r>
      <w:rPr>
        <w:rFonts w:ascii="Arial" w:cs="Arial" w:eastAsia="Arial" w:hAnsi="Arial"/>
        <w:color w:val="808080"/>
        <w:sz w:val="18"/>
        <w:szCs w:val="18"/>
      </w:rPr>
      <w:t xml:space="preserve">SOTE Hálózatfejlesztés – High Level Design  v1.1</w:t>
    </w:r>
    <w:r>
      <w:rPr>
        <w:rFonts w:ascii="Arial" w:cs="Arial" w:eastAsia="Arial" w:hAnsi="Arial"/>
        <w:sz w:val="18"/>
        <w:szCs w:val="18"/>
      </w:rPr>
      <w:t xml:space="preserve">		</w:t>
    </w:r>
    <w:r>
      <w:rPr>
        <w:rFonts w:ascii="Arial" w:cs="Arial" w:eastAsia="Arial" w:hAnsi="Arial"/>
        <w:b/>
        <w:bCs/>
        <w:color w:val="C00000"/>
        <w:sz w:val="18"/>
        <w:szCs w:val="18"/>
      </w:rPr>
      <w:t xml:space="preserve">Bizalmas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186b2108db2e80ca29f8826ef77463d25a0385b.jpg"/><Relationship Id="rId9" Type="http://schemas.openxmlformats.org/officeDocument/2006/relationships/image" Target="media/7686c60e2ce84498456f1ca5063f5d1322218cf6.jpg"/><Relationship Id="rId10" Type="http://schemas.openxmlformats.org/officeDocument/2006/relationships/image" Target="media/8a03d8607242ff83be537b7d10737282f91c7ce0.jpg"/><Relationship Id="rId11" Type="http://schemas.openxmlformats.org/officeDocument/2006/relationships/image" Target="media/f8c0389f31826b19268450eb4497b763f5bb559e.jpg"/><Relationship Id="rId12" Type="http://schemas.openxmlformats.org/officeDocument/2006/relationships/image" Target="media/95e5cf4612902c9cd492f99790b5058a03295f6f.jp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2026-03-08T15:43:29.525Z</dcterms:created>
  <dcterms:modified xsi:type="dcterms:W3CDTF">2026-03-08T15:43:29.526Z</dcterms:modified>
</cp:coreProperties>
</file>

<file path=docProps/custom.xml><?xml version="1.0" encoding="utf-8"?>
<Properties xmlns="http://schemas.openxmlformats.org/officeDocument/2006/custom-properties" xmlns:vt="http://schemas.openxmlformats.org/officeDocument/2006/docPropsVTypes"/>
</file>