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F4E79"/>
          <w:sz w:val="32"/>
          <w:szCs w:val="32"/>
        </w:rPr>
        <w:t xml:space="preserve">3. A Tervezett Hálózat Leírása</w:t>
      </w:r>
    </w:p>
    <w:p>
      <w:pPr>
        <w:pStyle w:val="Heading2"/>
        <w:spacing w:before="300" w:after="160"/>
      </w:pPr>
      <w:r>
        <w:rPr>
          <w:rFonts w:ascii="Arial" w:cs="Arial" w:eastAsia="Arial" w:hAnsi="Arial"/>
          <w:b/>
          <w:bCs/>
          <w:color w:val="2E75B6"/>
          <w:sz w:val="26"/>
          <w:szCs w:val="26"/>
        </w:rPr>
        <w:t xml:space="preserve">3.1. Bevezetés és tervezési alapelvek</w:t>
      </w:r>
    </w:p>
    <w:p>
      <w:pPr>
        <w:spacing w:after="120" w:line="276"/>
        <w:jc w:val="both"/>
      </w:pPr>
      <w:r>
        <w:rPr>
          <w:rFonts w:ascii="Arial" w:cs="Arial" w:eastAsia="Arial" w:hAnsi="Arial"/>
          <w:sz w:val="21"/>
          <w:szCs w:val="21"/>
        </w:rPr>
        <w:t xml:space="preserve">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pPr>
        <w:pStyle w:val="ListParagraph"/>
        <w:numPr>
          <w:ilvl w:val="0"/>
          <w:numId w:val="2"/>
        </w:numPr>
        <w:spacing w:after="60" w:line="276"/>
      </w:pPr>
      <w:r>
        <w:rPr>
          <w:rFonts w:ascii="Arial" w:cs="Arial" w:eastAsia="Arial" w:hAnsi="Arial"/>
          <w:b/>
          <w:bCs/>
          <w:sz w:val="21"/>
          <w:szCs w:val="21"/>
        </w:rPr>
        <w:t xml:space="preserve">Elavuló hardverbázis: </w:t>
      </w:r>
      <w:r>
        <w:rPr>
          <w:rFonts w:ascii="Arial" w:cs="Arial" w:eastAsia="Arial" w:hAnsi="Arial"/>
          <w:sz w:val="21"/>
          <w:szCs w:val="21"/>
        </w:rPr>
        <w:t xml:space="preserve">A gerinchálózat alapját képező Cisco Catalyst 6500/4500 sorozatú eszközök életciklus-végéhez közelednek, gyártói támogatásuk korlátozott, biztonsági frissítéseik ritkulnak.</w:t>
      </w:r>
    </w:p>
    <w:p>
      <w:pPr>
        <w:pStyle w:val="ListParagraph"/>
        <w:numPr>
          <w:ilvl w:val="0"/>
          <w:numId w:val="2"/>
        </w:numPr>
        <w:spacing w:after="60" w:line="276"/>
      </w:pPr>
      <w:r>
        <w:rPr>
          <w:rFonts w:ascii="Arial" w:cs="Arial" w:eastAsia="Arial" w:hAnsi="Arial"/>
          <w:b/>
          <w:bCs/>
          <w:sz w:val="21"/>
          <w:szCs w:val="21"/>
        </w:rPr>
        <w:t xml:space="preserve">Átláthatatlan Layer 2 topológia: </w:t>
      </w:r>
      <w:r>
        <w:rPr>
          <w:rFonts w:ascii="Arial" w:cs="Arial" w:eastAsia="Arial" w:hAnsi="Arial"/>
          <w:sz w:val="21"/>
          <w:szCs w:val="21"/>
        </w:rPr>
        <w:t xml:space="preserve">A VLAN-struktúra organikusan, ad hoc módon nőtt; egyes VLAN-ok az egész campusra kiterjedő broadcast doméneket alkotnak (stretched VLAN), mások lokálisan, izoláltan működnek, de párhuzamos funkciót töltenek be.</w:t>
      </w:r>
    </w:p>
    <w:p>
      <w:pPr>
        <w:pStyle w:val="ListParagraph"/>
        <w:numPr>
          <w:ilvl w:val="0"/>
          <w:numId w:val="2"/>
        </w:numPr>
        <w:spacing w:after="60" w:line="276"/>
      </w:pPr>
      <w:r>
        <w:rPr>
          <w:rFonts w:ascii="Arial" w:cs="Arial" w:eastAsia="Arial" w:hAnsi="Arial"/>
          <w:b/>
          <w:bCs/>
          <w:sz w:val="21"/>
          <w:szCs w:val="21"/>
        </w:rPr>
        <w:t xml:space="preserve">Routing-komplexitás: </w:t>
      </w:r>
      <w:r>
        <w:rPr>
          <w:rFonts w:ascii="Arial" w:cs="Arial" w:eastAsia="Arial" w:hAnsi="Arial"/>
          <w:sz w:val="21"/>
          <w:szCs w:val="21"/>
        </w:rPr>
        <w:t xml:space="preserve">Négy különböző routing protokoll (EIGRP AS 10, OSPF Process 1 és 2, BGP AS 65008) párhuzamos és részben inkonzisztens működése bonyolítja a hibakeresést és a konvergenciaidőt.</w:t>
      </w:r>
    </w:p>
    <w:p>
      <w:pPr>
        <w:pStyle w:val="ListParagraph"/>
        <w:numPr>
          <w:ilvl w:val="0"/>
          <w:numId w:val="2"/>
        </w:numPr>
        <w:spacing w:after="60" w:line="276"/>
      </w:pPr>
      <w:r>
        <w:rPr>
          <w:rFonts w:ascii="Arial" w:cs="Arial" w:eastAsia="Arial" w:hAnsi="Arial"/>
          <w:b/>
          <w:bCs/>
          <w:sz w:val="21"/>
          <w:szCs w:val="21"/>
        </w:rPr>
        <w:t xml:space="preserve">Valós redundancia hiánya: </w:t>
      </w:r>
      <w:r>
        <w:rPr>
          <w:rFonts w:ascii="Arial" w:cs="Arial" w:eastAsia="Arial" w:hAnsi="Arial"/>
          <w:sz w:val="21"/>
          <w:szCs w:val="21"/>
        </w:rPr>
        <w:t xml:space="preserve">Az internet-kapcsolat látszólag több úton is rendelkezésre áll, valójában azonban a tartalék BGP peer-ek adminisztratívan letiltott állapotban vannak, a campusok közötti egyes fizikai linkek sem működőképesek.</w:t>
      </w:r>
    </w:p>
    <w:p>
      <w:pPr>
        <w:pStyle w:val="ListParagraph"/>
        <w:numPr>
          <w:ilvl w:val="0"/>
          <w:numId w:val="2"/>
        </w:numPr>
        <w:spacing w:after="60" w:line="276"/>
      </w:pPr>
      <w:r>
        <w:rPr>
          <w:rFonts w:ascii="Arial" w:cs="Arial" w:eastAsia="Arial" w:hAnsi="Arial"/>
          <w:b/>
          <w:bCs/>
          <w:sz w:val="21"/>
          <w:szCs w:val="21"/>
        </w:rPr>
        <w:t xml:space="preserve">Szegmentációs hiányosságok: </w:t>
      </w:r>
      <w:r>
        <w:rPr>
          <w:rFonts w:ascii="Arial" w:cs="Arial" w:eastAsia="Arial" w:hAnsi="Arial"/>
          <w:sz w:val="21"/>
          <w:szCs w:val="21"/>
        </w:rPr>
        <w:t xml:space="preserve">A kritikus egészségügyi rendszerek (PACS, MEDSOL, Andromeda), a VoIP-forgalom, a biztonságtechnikai hálózat és az általános adatforgalom kizárólag VLAN-szintű elkülönítéssel rendelkezik, robusztus Layer 3 tűzfalszabályok nélkül.</w:t>
      </w:r>
    </w:p>
    <w:p>
      <w:pPr>
        <w:spacing w:after="120" w:line="276"/>
        <w:jc w:val="both"/>
      </w:pPr>
      <w:r>
        <w:rPr>
          <w:rFonts w:ascii="Arial" w:cs="Arial" w:eastAsia="Arial" w:hAnsi="Arial"/>
          <w:sz w:val="21"/>
          <w:szCs w:val="21"/>
        </w:rPr>
        <w:t xml:space="preserve">A tervezett új hálózat célja ezeknek a strukturális korlátoknak a rendszerszintű feloldása egy modern, skálázható, üzembiztos és transzparens módon menedzselhető architektúra kialakításával. A tervezés az alábbi vezérelveket követi:</w:t>
      </w:r>
    </w:p>
    <w:p>
      <w:pPr>
        <w:pStyle w:val="ListParagraph"/>
        <w:numPr>
          <w:ilvl w:val="0"/>
          <w:numId w:val="2"/>
        </w:numPr>
        <w:spacing w:after="60" w:line="276"/>
      </w:pPr>
      <w:r>
        <w:rPr>
          <w:rFonts w:ascii="Arial" w:cs="Arial" w:eastAsia="Arial" w:hAnsi="Arial"/>
          <w:b/>
          <w:bCs/>
          <w:sz w:val="21"/>
          <w:szCs w:val="21"/>
        </w:rPr>
        <w:t xml:space="preserve">Identitás-alapú, dinamikus hálózat: </w:t>
      </w:r>
      <w:r>
        <w:rPr>
          <w:rFonts w:ascii="Arial" w:cs="Arial" w:eastAsia="Arial" w:hAnsi="Arial"/>
          <w:sz w:val="21"/>
          <w:szCs w:val="21"/>
        </w:rPr>
        <w:t xml:space="preserve">Cisco ISE (Identity Services Engine) alkalmazásával minden felhasználó és eszköz identitása alapján kapja meg hálózati hozzáférési jogosultságait – a korábbi statikus, porthoz kötött VLAN-kiosztás helyett.</w:t>
      </w:r>
    </w:p>
    <w:p>
      <w:pPr>
        <w:pStyle w:val="ListParagraph"/>
        <w:numPr>
          <w:ilvl w:val="0"/>
          <w:numId w:val="2"/>
        </w:numPr>
        <w:spacing w:after="60" w:line="276"/>
      </w:pPr>
      <w:r>
        <w:rPr>
          <w:rFonts w:ascii="Arial" w:cs="Arial" w:eastAsia="Arial" w:hAnsi="Arial"/>
          <w:b/>
          <w:bCs/>
          <w:sz w:val="21"/>
          <w:szCs w:val="21"/>
        </w:rPr>
        <w:t xml:space="preserve">Zóna-alapú szegmentáció: </w:t>
      </w:r>
      <w:r>
        <w:rPr>
          <w:rFonts w:ascii="Arial" w:cs="Arial" w:eastAsia="Arial" w:hAnsi="Arial"/>
          <w:sz w:val="21"/>
          <w:szCs w:val="21"/>
        </w:rPr>
        <w:t xml:space="preserve">A hálózat funkcionálisan és fizikailag elkülönülő zónákra tagolódik. A zónák közötti kommunikációt kizárólag tűzfalszabályok és SGT (Security Group Tag) policy-k engedélyezik.</w:t>
      </w:r>
    </w:p>
    <w:p>
      <w:pPr>
        <w:pStyle w:val="ListParagraph"/>
        <w:numPr>
          <w:ilvl w:val="0"/>
          <w:numId w:val="2"/>
        </w:numPr>
        <w:spacing w:after="60" w:line="276"/>
      </w:pPr>
      <w:r>
        <w:rPr>
          <w:rFonts w:ascii="Arial" w:cs="Arial" w:eastAsia="Arial" w:hAnsi="Arial"/>
          <w:b/>
          <w:bCs/>
          <w:sz w:val="21"/>
          <w:szCs w:val="21"/>
        </w:rPr>
        <w:t xml:space="preserve">Cisco SDA vagy Routed Access: </w:t>
      </w:r>
      <w:r>
        <w:rPr>
          <w:rFonts w:ascii="Arial" w:cs="Arial" w:eastAsia="Arial" w:hAnsi="Arial"/>
          <w:sz w:val="21"/>
          <w:szCs w:val="21"/>
        </w:rPr>
        <w:t xml:space="preserve">A Campus Zóna két lehetséges hozzáférési modellt vizsgál: az SDA (Software-Defined Access) VXLAN fabric overlay-t, illetve a hagyományos, de korszerű Routed Access megoldást. A végleges döntés a részletes tervezési fázisban születik.</w:t>
      </w:r>
    </w:p>
    <w:p>
      <w:pPr>
        <w:pStyle w:val="ListParagraph"/>
        <w:numPr>
          <w:ilvl w:val="0"/>
          <w:numId w:val="2"/>
        </w:numPr>
        <w:spacing w:after="60" w:line="276"/>
      </w:pPr>
      <w:r>
        <w:rPr>
          <w:rFonts w:ascii="Arial" w:cs="Arial" w:eastAsia="Arial" w:hAnsi="Arial"/>
          <w:b/>
          <w:bCs/>
          <w:sz w:val="21"/>
          <w:szCs w:val="21"/>
        </w:rPr>
        <w:t xml:space="preserve">Hierarchikus, háromszintű architektúra: </w:t>
      </w:r>
      <w:r>
        <w:rPr>
          <w:rFonts w:ascii="Arial" w:cs="Arial" w:eastAsia="Arial" w:hAnsi="Arial"/>
          <w:sz w:val="21"/>
          <w:szCs w:val="21"/>
        </w:rPr>
        <w:t xml:space="preserve">A Core, Disztribúciós és Access rétegek tisztán elválasztott feladatkörökkel működnek, lehetővé téve az egyes szintek független bővítését.</w:t>
      </w:r>
    </w:p>
    <w:p>
      <w:pPr>
        <w:pStyle w:val="ListParagraph"/>
        <w:numPr>
          <w:ilvl w:val="0"/>
          <w:numId w:val="2"/>
        </w:numPr>
        <w:spacing w:after="60" w:line="276"/>
      </w:pPr>
      <w:r>
        <w:rPr>
          <w:rFonts w:ascii="Arial" w:cs="Arial" w:eastAsia="Arial" w:hAnsi="Arial"/>
          <w:b/>
          <w:bCs/>
          <w:sz w:val="21"/>
          <w:szCs w:val="21"/>
        </w:rPr>
        <w:t xml:space="preserve">Fizikai és logikai redundancia: </w:t>
      </w:r>
      <w:r>
        <w:rPr>
          <w:rFonts w:ascii="Arial" w:cs="Arial" w:eastAsia="Arial" w:hAnsi="Arial"/>
          <w:sz w:val="21"/>
          <w:szCs w:val="21"/>
        </w:rPr>
        <w:t xml:space="preserve">Minden kritikus ponton párosított eszközök, diverzifikált útvonalak és független tápellátási zónák garantálják a szolgáltatás folytonosságát.</w:t>
      </w:r>
    </w:p>
    <w:p>
      <w:pPr>
        <w:spacing w:after="120" w:line="276"/>
        <w:jc w:val="both"/>
      </w:pPr>
      <w:r>
        <w:rPr>
          <w:rFonts w:ascii="Arial" w:cs="Arial" w:eastAsia="Arial" w:hAnsi="Arial"/>
          <w:sz w:val="21"/>
          <w:szCs w:val="21"/>
        </w:rPr>
        <w:t xml:space="preserve">A tervezés elsődleges forrása a „SOTE Hálózatfejlesztés” Visio fájl „Tervezett Hálózat HLD” füle, a meglévő hálózat eszköz-konfigurációiból nyert elemzés, valamint a már élesített WiFi jogosultsági mátrix V2 dokumentáció.</w:t>
      </w:r>
    </w:p>
    <w:p>
      <w:pPr>
        <w:pStyle w:val="Heading2"/>
        <w:spacing w:before="300" w:after="160"/>
      </w:pPr>
      <w:r>
        <w:rPr>
          <w:rFonts w:ascii="Arial" w:cs="Arial" w:eastAsia="Arial" w:hAnsi="Arial"/>
          <w:b/>
          <w:bCs/>
          <w:color w:val="2E75B6"/>
          <w:sz w:val="26"/>
          <w:szCs w:val="26"/>
        </w:rPr>
        <w:t xml:space="preserve">3.2. A tervezett hálózat átfogó felépítése</w:t>
      </w:r>
    </w:p>
    <w:p>
      <w:pPr>
        <w:spacing w:after="120" w:line="276"/>
        <w:jc w:val="both"/>
      </w:pPr>
      <w:r>
        <w:rPr>
          <w:rFonts w:ascii="Arial" w:cs="Arial" w:eastAsia="Arial" w:hAnsi="Arial"/>
          <w:sz w:val="21"/>
          <w:szCs w:val="21"/>
        </w:rPr>
        <w:t xml:space="preserve">Az új hálózat a Cisco Enterprise Architecture modellre épülő hierarchikus, háromszintű (3-tier) topológiát alkalmaz. A három réteg – Core, Disztribúció és Access – mindegyike világosan körülhatárolt feladatkörrel rendelkezik, és egymástól függetlenül skálázható. Ez a modell a jelenlegi flat Layer 2 topológiával szemben lényegesen kisebb hiba-doméneket, gyorsabb konvergenciát és egyszerűbb hibakeresést tesz lehetővé.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Réteg</w:t>
            </w:r>
          </w:p>
        </w:tc>
        <w:tc>
          <w:tcPr>
            <w:tcW w:type="dxa" w:w="36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Szerepkör és feladatkör</w:t>
            </w:r>
          </w:p>
        </w:tc>
        <w:tc>
          <w:tcPr>
            <w:tcW w:type="dxa" w:w="36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Tervezett eszközök</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jc w:val="center"/>
            </w:pPr>
            <w:r>
              <w:rPr>
                <w:rFonts w:ascii="Arial" w:cs="Arial" w:eastAsia="Arial" w:hAnsi="Arial"/>
                <w:b/>
                <w:bCs/>
                <w:sz w:val="18"/>
                <w:szCs w:val="18"/>
              </w:rPr>
              <w:t xml:space="preserve">Core</w:t>
            </w:r>
          </w:p>
        </w:tc>
        <w:tc>
          <w:tcPr>
            <w:tcW w:type="dxa" w:w="36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type="dxa" w:w="36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30"/>
            </w:pPr>
            <w:r>
              <w:rPr>
                <w:rFonts w:ascii="Arial" w:cs="Arial" w:eastAsia="Arial" w:hAnsi="Arial"/>
                <w:b/>
                <w:bCs/>
                <w:sz w:val="18"/>
                <w:szCs w:val="18"/>
              </w:rPr>
              <w:t xml:space="preserve">Szerver Core: </w:t>
            </w:r>
            <w:r>
              <w:rPr>
                <w:rFonts w:ascii="Arial" w:cs="Arial" w:eastAsia="Arial" w:hAnsi="Arial"/>
                <w:sz w:val="18"/>
                <w:szCs w:val="18"/>
              </w:rPr>
              <w:t xml:space="preserve">meglévő Nexus VXLAN fabric (Leaf/Spine)</w:t>
            </w:r>
          </w:p>
          <w:p>
            <w:pPr>
              <w:spacing w:after="30"/>
            </w:pPr>
            <w:r>
              <w:rPr>
                <w:rFonts w:ascii="Arial" w:cs="Arial" w:eastAsia="Arial" w:hAnsi="Arial"/>
                <w:b/>
                <w:bCs/>
                <w:sz w:val="18"/>
                <w:szCs w:val="18"/>
              </w:rPr>
              <w:t xml:space="preserve">Enterprise Core: </w:t>
            </w:r>
            <w:r>
              <w:rPr>
                <w:rFonts w:ascii="Arial" w:cs="Arial" w:eastAsia="Arial" w:hAnsi="Arial"/>
                <w:sz w:val="18"/>
                <w:szCs w:val="18"/>
              </w:rPr>
              <w:t xml:space="preserve">beszerezendő új L3 switch-ek (40G/100G uplink)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sz w:val="18"/>
                <w:szCs w:val="18"/>
              </w:rPr>
              <w:t xml:space="preserve">Disztribúció</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type="dxa" w:w="3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Beszerezendő redundáns optikai L3 switch Stack-párok, épületenként vagy épületcsoportonként.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jc w:val="center"/>
            </w:pPr>
            <w:r>
              <w:rPr>
                <w:rFonts w:ascii="Arial" w:cs="Arial" w:eastAsia="Arial" w:hAnsi="Arial"/>
                <w:b/>
                <w:bCs/>
                <w:sz w:val="18"/>
                <w:szCs w:val="18"/>
              </w:rPr>
              <w:t xml:space="preserve">Access</w:t>
            </w:r>
          </w:p>
        </w:tc>
        <w:tc>
          <w:tcPr>
            <w:tcW w:type="dxa" w:w="36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Az egyes épületek emeleti rendezőhelységeiben működő hálózati eszközök, amelyek közvetlenül a végfelhasználói eszközöket szolgálják ki (munkaállomások, IP telefonok, medikai berendezések, nyomtatók). Itt történik az ISE-alapú kliens-azonosítás és a dinamikus VLAN/SGT-hozzárendelés.</w:t>
            </w:r>
          </w:p>
        </w:tc>
        <w:tc>
          <w:tcPr>
            <w:tcW w:type="dxa" w:w="36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Meglévő Cisco Catalyst 9200L és beszerezendő Catalyst 9200 sorozatú eszközök, Stack-konfigurációban, redundáns optikai uplinkkel (1–1 a két disztribúciós pár felé).</w:t>
            </w:r>
          </w:p>
        </w:tc>
      </w:tr>
    </w:tbl>
    <w:p>
      <w:pPr>
        <w:spacing w:after="60"/>
      </w:pPr>
    </w:p>
    <w:p>
      <w:pPr>
        <w:spacing w:after="120" w:line="276"/>
        <w:jc w:val="both"/>
      </w:pPr>
      <w:r>
        <w:rPr>
          <w:rFonts w:ascii="Arial" w:cs="Arial" w:eastAsia="Arial" w:hAnsi="Arial"/>
          <w:sz w:val="21"/>
          <w:szCs w:val="21"/>
        </w:rPr>
        <w:t xml:space="preserve">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pPr>
        <w:pStyle w:val="Heading2"/>
        <w:spacing w:before="300" w:after="160"/>
      </w:pPr>
      <w:r>
        <w:rPr>
          <w:rFonts w:ascii="Arial" w:cs="Arial" w:eastAsia="Arial" w:hAnsi="Arial"/>
          <w:b/>
          <w:bCs/>
          <w:color w:val="2E75B6"/>
          <w:sz w:val="26"/>
          <w:szCs w:val="26"/>
        </w:rPr>
        <w:t xml:space="preserve">3.3. Zóna-alapú hálózati szegmentáció</w:t>
      </w:r>
    </w:p>
    <w:p>
      <w:pPr>
        <w:spacing w:after="120" w:line="276"/>
        <w:jc w:val="both"/>
      </w:pPr>
      <w:r>
        <w:rPr>
          <w:rFonts w:ascii="Arial" w:cs="Arial" w:eastAsia="Arial" w:hAnsi="Arial"/>
          <w:sz w:val="21"/>
          <w:szCs w:val="21"/>
        </w:rPr>
        <w:t xml:space="preserve">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pPr>
        <w:spacing w:after="120" w:line="276"/>
        <w:jc w:val="both"/>
      </w:pPr>
      <w:r>
        <w:rPr>
          <w:rFonts w:ascii="Arial" w:cs="Arial" w:eastAsia="Arial" w:hAnsi="Arial"/>
          <w:sz w:val="21"/>
          <w:szCs w:val="21"/>
        </w:rPr>
        <w:t xml:space="preserve">A tervezett zónák áttekintése: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Zóna</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Funkció és tartalom</w:t>
            </w:r>
          </w:p>
        </w:tc>
        <w:tc>
          <w:tcPr>
            <w:tcW w:type="dxa" w:w="2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Forgalomkezelés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Szerver Zóna</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Privát és publikus kiszolgáló rendszerek (fizikai, virtuális, appliance). Több belső szegmensre oszlik (Intranet, Medikai, Gazdasági stb.).</w:t>
            </w:r>
          </w:p>
        </w:tc>
        <w:tc>
          <w:tcPr>
            <w:tcW w:type="dxa" w:w="2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Fortigate HA pár: L3 szintű zónaelválasztás és szegmensek közötti szűrés.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Campus Zóna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Végfelhasználói kliensek (munkaállomások, laptopok, medikai eszközök, nyomtatók). Fizikailag szeparalva a Szerver Zónától.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ISE policy-alapú dinamikus VLAN/SGT hozzárendelés és jogosultsági mátrix.</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Management Zóna</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Hálózatmenedzsment eszközök: Cisco ISE, WLC (WiFi vezérlő), Catalyst Center.</w:t>
            </w:r>
          </w:p>
        </w:tc>
        <w:tc>
          <w:tcPr>
            <w:tcW w:type="dxa" w:w="2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Külön VRF, dedikált portok, kizárólag üzemeltetői hozzáférés.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OOB Zóna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Out-of-Band menedzsment: vészhelyzeti Console/MGMT port-hozzáférés alternatív úton.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Független tűzfal, mobil internet tartálék bejárat, VPN-alapú elérés.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Internet Edge Zóna</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Internet-szolgáltatói (Pro M) csatlakozási pont, BGP routing, redundáns uplink.</w:t>
            </w:r>
          </w:p>
        </w:tc>
        <w:tc>
          <w:tcPr>
            <w:tcW w:type="dxa" w:w="2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Beszerezendő Edge switch-pár + BGP primary/secondary failover.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Enterprise Edge Zóna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Távoli telephelyek Site-to-Site VPN és Remote Access VPN csatlakozása.</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Palo Alto HA pár a Fortigate mögött, telephelyi ISE integráció.</w:t>
            </w:r>
          </w:p>
        </w:tc>
      </w:tr>
    </w:tbl>
    <w:p>
      <w:pPr>
        <w:spacing w:after="60"/>
      </w:pPr>
    </w:p>
    <w:p>
      <w:pPr>
        <w:pStyle w:val="Heading3"/>
        <w:spacing w:before="220" w:after="120"/>
      </w:pPr>
      <w:r>
        <w:rPr>
          <w:rFonts w:ascii="Arial" w:cs="Arial" w:eastAsia="Arial" w:hAnsi="Arial"/>
          <w:b/>
          <w:bCs/>
          <w:color w:val="404040"/>
          <w:sz w:val="22"/>
          <w:szCs w:val="22"/>
        </w:rPr>
        <w:t xml:space="preserve">3.3.1. Szerver Zóna</w:t>
      </w:r>
    </w:p>
    <w:p>
      <w:pPr>
        <w:spacing w:after="120" w:line="276"/>
        <w:jc w:val="both"/>
      </w:pPr>
      <w:r>
        <w:rPr>
          <w:rFonts w:ascii="Arial" w:cs="Arial" w:eastAsia="Arial" w:hAnsi="Arial"/>
          <w:sz w:val="21"/>
          <w:szCs w:val="21"/>
        </w:rPr>
        <w:t xml:space="preserve">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pPr>
        <w:spacing w:after="120" w:line="276"/>
        <w:jc w:val="both"/>
      </w:pPr>
      <w:r>
        <w:rPr>
          <w:rFonts w:ascii="Arial" w:cs="Arial" w:eastAsia="Arial" w:hAnsi="Arial"/>
          <w:sz w:val="21"/>
          <w:szCs w:val="21"/>
        </w:rPr>
        <w:t xml:space="preserve">A Szerver Zónán belül a rendszerek funkciójuk és biztonsági besorolásuk alapján további szegmensekre tagolódnak. Az egyes szegmensek közötti forgalmat a Fortigate tűzfal explicit szabályrendszerrel engedélyezi vagy tiltja („deny-by-default” megközelítés). Az alábbi táblázat összefoglalja a szerver-szegmensek tartalmát és biztonsági jellemzőit: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Szegmens</w:t>
            </w:r>
          </w:p>
        </w:tc>
        <w:tc>
          <w:tcPr>
            <w:tcW w:type="dxa" w:w="38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Tartalmazó rendszerek</w:t>
            </w:r>
          </w:p>
        </w:tc>
        <w:tc>
          <w:tcPr>
            <w:tcW w:type="dxa" w:w="34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Hozzáférési szabályok jellemzői</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Intranet</w:t>
            </w:r>
          </w:p>
        </w:tc>
        <w:tc>
          <w:tcPr>
            <w:tcW w:type="dxa" w:w="38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Active Directory, E-tárhely, Ticketing rendszerek, Mercatus, vírusvédelmi szerverek, Könyvtári adatbázisok, SPSS, File szerverek</w:t>
            </w:r>
          </w:p>
        </w:tc>
        <w:tc>
          <w:tcPr>
            <w:tcW w:type="dxa" w:w="34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Széles körű belső elérés: a legtöbb klienscsoport (DOLG, MEDI, TANU, GAZD) számára engedélyezett. Internet irányú közvetlen elérés tiltott.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Medikai</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MEDSOL, ERAD, PACS, Andromeda és egyéb egészségügyi klinikai rendszerek</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Kiemelt védelmű, korlátozott hozzáférésű szegmens. Kizárólag a MEDI, INFADMIN, INFI csoportok és a MEDMOB MAC-alapú eszközök számára elérhető. A DOLG, TANU, GAZD csoportoknak tiltott.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E-learning</w:t>
            </w:r>
          </w:p>
        </w:tc>
        <w:tc>
          <w:tcPr>
            <w:tcW w:type="dxa" w:w="38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Moodle, Seka</w:t>
            </w:r>
          </w:p>
        </w:tc>
        <w:tc>
          <w:tcPr>
            <w:tcW w:type="dxa" w:w="34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Oktatási rendszerek: TANU (hallgatók) és MEDI csoportok számára engedélyezett. Általános dolgozók (DOLG) számára tiltott.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Iktató</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Poszeidon iktatórendszer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Adminisztrációs rendszer: GAZD csoport és kombinált gazdasági jogosultságú felhasználók számára elérhető.</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Neptun Vastag Kliens</w:t>
            </w:r>
          </w:p>
        </w:tc>
        <w:tc>
          <w:tcPr>
            <w:tcW w:type="dxa" w:w="38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Neptun Vastag Kliens szerver</w:t>
            </w:r>
          </w:p>
        </w:tc>
        <w:tc>
          <w:tcPr>
            <w:tcW w:type="dxa" w:w="34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Tanulmányi rendszer: TANU és GAZD csoportoknak engedélyezett, orvosi (MEDI) csoportnak tiltott.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Gazdasági</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SAP, AVIR, Gazdinfo, Alfa szerver, Lotus, Genesis, SZFO Teszt, Semaphor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Pénzügyi adatok: kizárólag a GAZD, INFI, INFADMIN csoportok számára. Kiemelt audit- és naplózási követelmények.</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Biztonságtechnika</w:t>
            </w:r>
          </w:p>
        </w:tc>
        <w:tc>
          <w:tcPr>
            <w:tcW w:type="dxa" w:w="38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Kamerák, biztonságtechnikai szerverek, Hikvision platform</w:t>
            </w:r>
          </w:p>
        </w:tc>
        <w:tc>
          <w:tcPr>
            <w:tcW w:type="dxa" w:w="34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Fizikai biztonsági rendszerek: BIZT csoport és Camera MAC-csoport számára. Teljesen izolált az általános kliensforgalomtól.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Management</w:t>
            </w:r>
          </w:p>
        </w:tc>
        <w:tc>
          <w:tcPr>
            <w:tcW w:type="dxa" w:w="3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Hálózat-menedzsment infrastruktúra</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Kizárólag INFADMIN (informatikai adminisztrátorok) számára elérhető. Minden más csoportnak – beleértve az INFI-t is – tiltott.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TV</w:t>
            </w:r>
          </w:p>
        </w:tc>
        <w:tc>
          <w:tcPr>
            <w:tcW w:type="dxa" w:w="38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IP TV-k</w:t>
            </w:r>
          </w:p>
        </w:tc>
        <w:tc>
          <w:tcPr>
            <w:tcW w:type="dxa" w:w="341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Egyirányú multicast forgalom: a legtöbb klienscsoport látja (információs célra), MAC-alapú IoT TV eszközök csak a Kliens VLAN-okon kommunikálnak.</w:t>
            </w:r>
          </w:p>
        </w:tc>
      </w:tr>
    </w:tbl>
    <w:p>
      <w:pPr>
        <w:spacing w:after="60"/>
      </w:pPr>
    </w:p>
    <w:p>
      <w:pPr>
        <w:pStyle w:val="Heading3"/>
        <w:spacing w:before="220" w:after="120"/>
      </w:pPr>
      <w:r>
        <w:rPr>
          <w:rFonts w:ascii="Arial" w:cs="Arial" w:eastAsia="Arial" w:hAnsi="Arial"/>
          <w:b/>
          <w:bCs/>
          <w:color w:val="404040"/>
          <w:sz w:val="22"/>
          <w:szCs w:val="22"/>
        </w:rPr>
        <w:t xml:space="preserve">3.3.2. Campus Zóna</w:t>
      </w:r>
    </w:p>
    <w:p>
      <w:pPr>
        <w:spacing w:after="120" w:line="276"/>
        <w:jc w:val="both"/>
      </w:pPr>
      <w:r>
        <w:rPr>
          <w:rFonts w:ascii="Arial" w:cs="Arial" w:eastAsia="Arial" w:hAnsi="Arial"/>
          <w:sz w:val="21"/>
          <w:szCs w:val="21"/>
        </w:rPr>
        <w:t xml:space="preserve">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meglévő/beszerezendő Cisco Catalyst 9200/9200L access eszközök szolgálják ki.</w:t>
      </w:r>
    </w:p>
    <w:p>
      <w:pPr>
        <w:spacing w:after="120" w:line="276"/>
        <w:jc w:val="both"/>
      </w:pPr>
      <w:r>
        <w:rPr>
          <w:rFonts w:ascii="Arial" w:cs="Arial" w:eastAsia="Arial" w:hAnsi="Arial"/>
          <w:sz w:val="21"/>
          <w:szCs w:val="21"/>
        </w:rPr>
        <w:t xml:space="preserve">A Campus Zóna háromszintű rétegzése:</w:t>
      </w:r>
    </w:p>
    <w:p>
      <w:pPr>
        <w:pStyle w:val="ListParagraph"/>
        <w:numPr>
          <w:ilvl w:val="0"/>
          <w:numId w:val="2"/>
        </w:numPr>
        <w:spacing w:after="60" w:line="276"/>
      </w:pPr>
      <w:r>
        <w:rPr>
          <w:rFonts w:ascii="Arial" w:cs="Arial" w:eastAsia="Arial" w:hAnsi="Arial"/>
          <w:b/>
          <w:bCs/>
          <w:sz w:val="21"/>
          <w:szCs w:val="21"/>
        </w:rPr>
        <w:t xml:space="preserve">Campus Core: </w:t>
      </w:r>
      <w:r>
        <w:rPr>
          <w:rFonts w:ascii="Arial" w:cs="Arial" w:eastAsia="Arial" w:hAnsi="Arial"/>
          <w:sz w:val="21"/>
          <w:szCs w:val="21"/>
        </w:rPr>
        <w:t xml:space="preserve">Beszerezendő Enterprise Core switch-ek, amelyek nagysebességű (40G/100G) összeköttetéssel kapcsolódnak a Szerver Core-hoz és az Internet Edge-hez. Feladatuk a disztribúciós rétegből érkező aggregált forgalom továbbítása.</w:t>
      </w:r>
    </w:p>
    <w:p>
      <w:pPr>
        <w:pStyle w:val="ListParagraph"/>
        <w:numPr>
          <w:ilvl w:val="0"/>
          <w:numId w:val="2"/>
        </w:numPr>
        <w:spacing w:after="60" w:line="276"/>
      </w:pPr>
      <w:r>
        <w:rPr>
          <w:rFonts w:ascii="Arial" w:cs="Arial" w:eastAsia="Arial" w:hAnsi="Arial"/>
          <w:b/>
          <w:bCs/>
          <w:sz w:val="21"/>
          <w:szCs w:val="21"/>
        </w:rPr>
        <w:t xml:space="preserve">Disztribúciós réteg: </w:t>
      </w:r>
      <w:r>
        <w:rPr>
          <w:rFonts w:ascii="Arial" w:cs="Arial" w:eastAsia="Arial" w:hAnsi="Arial"/>
          <w:sz w:val="21"/>
          <w:szCs w:val="21"/>
        </w:rPr>
        <w:t xml:space="preserve">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pPr>
        <w:pStyle w:val="ListParagraph"/>
        <w:numPr>
          <w:ilvl w:val="0"/>
          <w:numId w:val="2"/>
        </w:numPr>
        <w:spacing w:after="60" w:line="276"/>
      </w:pPr>
      <w:r>
        <w:rPr>
          <w:rFonts w:ascii="Arial" w:cs="Arial" w:eastAsia="Arial" w:hAnsi="Arial"/>
          <w:b/>
          <w:bCs/>
          <w:sz w:val="21"/>
          <w:szCs w:val="21"/>
        </w:rPr>
        <w:t xml:space="preserve">Access réteg: </w:t>
      </w:r>
      <w:r>
        <w:rPr>
          <w:rFonts w:ascii="Arial" w:cs="Arial" w:eastAsia="Arial" w:hAnsi="Arial"/>
          <w:sz w:val="21"/>
          <w:szCs w:val="21"/>
        </w:rPr>
        <w:t xml:space="preserve">Meglévő Cisco Catalyst 9200L és beszerezendő Catalyst 9200 eszközök Stack-konfigurációban, két redundáns optikai uplinkkel a disztribúciós pár mindkét tagjához. Az Access rétegben valósul meg a 802.1X/MAB alapú kliens-azonosítás és az ISE által vezérelt dinamikus VLAN/SGT-hozzárendelés.</w:t>
      </w:r>
    </w:p>
    <w:p>
      <w:pPr>
        <w:spacing w:after="120" w:line="276"/>
        <w:jc w:val="both"/>
      </w:pPr>
      <w:r>
        <w:rPr>
          <w:rFonts w:ascii="Arial" w:cs="Arial" w:eastAsia="Arial" w:hAnsi="Arial"/>
          <w:sz w:val="21"/>
          <w:szCs w:val="21"/>
        </w:rPr>
        <w:t xml:space="preserve">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pPr>
        <w:pStyle w:val="Heading3"/>
        <w:spacing w:before="220" w:after="120"/>
      </w:pPr>
      <w:r>
        <w:rPr>
          <w:rFonts w:ascii="Arial" w:cs="Arial" w:eastAsia="Arial" w:hAnsi="Arial"/>
          <w:b/>
          <w:bCs/>
          <w:color w:val="404040"/>
          <w:sz w:val="22"/>
          <w:szCs w:val="22"/>
        </w:rPr>
        <w:t xml:space="preserve">3.3.3. Management Zóna</w:t>
      </w:r>
    </w:p>
    <w:p>
      <w:pPr>
        <w:spacing w:after="120" w:line="276"/>
        <w:jc w:val="both"/>
      </w:pPr>
      <w:r>
        <w:rPr>
          <w:rFonts w:ascii="Arial" w:cs="Arial" w:eastAsia="Arial" w:hAnsi="Arial"/>
          <w:sz w:val="21"/>
          <w:szCs w:val="21"/>
        </w:rPr>
        <w:t xml:space="preserve">A Management Zóna a hálózat üzemeltetési és vezérlési infrastruktúráját koncentrálja:</w:t>
      </w:r>
    </w:p>
    <w:p>
      <w:pPr>
        <w:pStyle w:val="ListParagraph"/>
        <w:numPr>
          <w:ilvl w:val="0"/>
          <w:numId w:val="2"/>
        </w:numPr>
        <w:spacing w:after="60" w:line="276"/>
      </w:pPr>
      <w:r>
        <w:rPr>
          <w:rFonts w:ascii="Arial" w:cs="Arial" w:eastAsia="Arial" w:hAnsi="Arial"/>
          <w:b/>
          <w:bCs/>
          <w:sz w:val="21"/>
          <w:szCs w:val="21"/>
        </w:rPr>
        <w:t xml:space="preserve">Cisco ISE (Identity Services Engine): </w:t>
      </w:r>
      <w:r>
        <w:rPr>
          <w:rFonts w:ascii="Arial" w:cs="Arial" w:eastAsia="Arial" w:hAnsi="Arial"/>
          <w:sz w:val="21"/>
          <w:szCs w:val="21"/>
        </w:rPr>
        <w:t xml:space="preserve">Az egész hálózat AAA (Authentication, Authorization, Accounting) rendszere. Az ISE határozza meg, hogy az egyes felhasználók és eszközök mely VLAN-ba és SGT-csoportba kerüljenek, és a jogosultsági mátrix alapján milyen szerver-szegmensekhez férhessenek hozzá.</w:t>
      </w:r>
    </w:p>
    <w:p>
      <w:pPr>
        <w:pStyle w:val="ListParagraph"/>
        <w:numPr>
          <w:ilvl w:val="0"/>
          <w:numId w:val="2"/>
        </w:numPr>
        <w:spacing w:after="60" w:line="276"/>
      </w:pPr>
      <w:r>
        <w:rPr>
          <w:rFonts w:ascii="Arial" w:cs="Arial" w:eastAsia="Arial" w:hAnsi="Arial"/>
          <w:b/>
          <w:bCs/>
          <w:sz w:val="21"/>
          <w:szCs w:val="21"/>
        </w:rPr>
        <w:t xml:space="preserve">WLC (Wireless LAN Controller): </w:t>
      </w:r>
      <w:r>
        <w:rPr>
          <w:rFonts w:ascii="Arial" w:cs="Arial" w:eastAsia="Arial" w:hAnsi="Arial"/>
          <w:sz w:val="21"/>
          <w:szCs w:val="21"/>
        </w:rPr>
        <w:t xml:space="preserve">A WiFi infrastruktúra központi vezérlője. Jelenleg Cisco WLC5520 és Catalyst 9800 eszközök látják el, HA (High Availability) párban. A WiFi kliensek esetében a jogosultsági mátrix már élesítve van.</w:t>
      </w:r>
    </w:p>
    <w:p>
      <w:pPr>
        <w:pStyle w:val="ListParagraph"/>
        <w:numPr>
          <w:ilvl w:val="0"/>
          <w:numId w:val="2"/>
        </w:numPr>
        <w:spacing w:after="60" w:line="276"/>
      </w:pPr>
      <w:r>
        <w:rPr>
          <w:rFonts w:ascii="Arial" w:cs="Arial" w:eastAsia="Arial" w:hAnsi="Arial"/>
          <w:b/>
          <w:bCs/>
          <w:sz w:val="21"/>
          <w:szCs w:val="21"/>
        </w:rPr>
        <w:t xml:space="preserve">Catalyst Center (korábban DNA Center): </w:t>
      </w:r>
      <w:r>
        <w:rPr>
          <w:rFonts w:ascii="Arial" w:cs="Arial" w:eastAsia="Arial" w:hAnsi="Arial"/>
          <w:sz w:val="21"/>
          <w:szCs w:val="21"/>
        </w:rPr>
        <w:t xml:space="preserve">A Cisco hálózat-automatizálási és monitoring platformja. SDA választás esetén ez a fabric teljes vezérlését, a policy-elosztást és a hálózati állapot felügyeletét végzi.</w:t>
      </w:r>
    </w:p>
    <w:p>
      <w:pPr>
        <w:spacing w:after="120" w:line="276"/>
        <w:jc w:val="both"/>
      </w:pPr>
      <w:r>
        <w:rPr>
          <w:rFonts w:ascii="Arial" w:cs="Arial" w:eastAsia="Arial" w:hAnsi="Arial"/>
          <w:sz w:val="21"/>
          <w:szCs w:val="21"/>
        </w:rPr>
        <w:t xml:space="preserve">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pPr>
        <w:pStyle w:val="Heading3"/>
        <w:spacing w:before="220" w:after="120"/>
      </w:pPr>
      <w:r>
        <w:rPr>
          <w:rFonts w:ascii="Arial" w:cs="Arial" w:eastAsia="Arial" w:hAnsi="Arial"/>
          <w:b/>
          <w:bCs/>
          <w:color w:val="404040"/>
          <w:sz w:val="22"/>
          <w:szCs w:val="22"/>
        </w:rPr>
        <w:t xml:space="preserve">3.3.4. OOB (Out-of-Band) Zóna</w:t>
      </w:r>
    </w:p>
    <w:p>
      <w:pPr>
        <w:spacing w:after="120" w:line="276"/>
        <w:jc w:val="both"/>
      </w:pPr>
      <w:r>
        <w:rPr>
          <w:rFonts w:ascii="Arial" w:cs="Arial" w:eastAsia="Arial" w:hAnsi="Arial"/>
          <w:sz w:val="21"/>
          <w:szCs w:val="21"/>
        </w:rPr>
        <w:t xml:space="preserve">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pPr>
        <w:spacing w:after="120" w:line="276"/>
        <w:jc w:val="both"/>
      </w:pPr>
      <w:r>
        <w:rPr>
          <w:rFonts w:ascii="Arial" w:cs="Arial" w:eastAsia="Arial" w:hAnsi="Arial"/>
          <w:sz w:val="21"/>
          <w:szCs w:val="21"/>
        </w:rPr>
        <w:t xml:space="preserve">Az OOB Zóna elemei:</w:t>
      </w:r>
    </w:p>
    <w:p>
      <w:pPr>
        <w:pStyle w:val="ListParagraph"/>
        <w:numPr>
          <w:ilvl w:val="0"/>
          <w:numId w:val="2"/>
        </w:numPr>
        <w:spacing w:after="60" w:line="276"/>
      </w:pPr>
      <w:r>
        <w:rPr>
          <w:rFonts w:ascii="Arial" w:cs="Arial" w:eastAsia="Arial" w:hAnsi="Arial"/>
          <w:b/>
          <w:bCs/>
          <w:sz w:val="21"/>
          <w:szCs w:val="21"/>
        </w:rPr>
        <w:t xml:space="preserve">Cisco Terminal Services Gateway (C1100TG-1N24P32A): </w:t>
      </w:r>
      <w:r>
        <w:rPr>
          <w:rFonts w:ascii="Arial" w:cs="Arial" w:eastAsia="Arial" w:hAnsi="Arial"/>
          <w:sz w:val="21"/>
          <w:szCs w:val="21"/>
        </w:rPr>
        <w:t xml:space="preserve">Beszerezendő konzolszerv, amelyre a hálózati eszközök Console portja (soros) és Management portja (UTP) csatlakozik. A gateway távoli SSH/Telnet hozzáférést biztosít az egyes eszközök CLI-jéhez, függetlenül a production hálózat állapotától.</w:t>
      </w:r>
    </w:p>
    <w:p>
      <w:pPr>
        <w:pStyle w:val="ListParagraph"/>
        <w:numPr>
          <w:ilvl w:val="0"/>
          <w:numId w:val="2"/>
        </w:numPr>
        <w:spacing w:after="60" w:line="276"/>
      </w:pPr>
      <w:r>
        <w:rPr>
          <w:rFonts w:ascii="Arial" w:cs="Arial" w:eastAsia="Arial" w:hAnsi="Arial"/>
          <w:b/>
          <w:bCs/>
          <w:sz w:val="21"/>
          <w:szCs w:val="21"/>
        </w:rPr>
        <w:t xml:space="preserve">OOB tűzfal: </w:t>
      </w:r>
      <w:r>
        <w:rPr>
          <w:rFonts w:ascii="Arial" w:cs="Arial" w:eastAsia="Arial" w:hAnsi="Arial"/>
          <w:sz w:val="21"/>
          <w:szCs w:val="21"/>
        </w:rPr>
        <w:t xml:space="preserve">Beszerezendő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pPr>
        <w:spacing w:after="120" w:line="276"/>
        <w:jc w:val="both"/>
      </w:pPr>
      <w:r>
        <w:rPr>
          <w:rFonts w:ascii="Arial" w:cs="Arial" w:eastAsia="Arial" w:hAnsi="Arial"/>
          <w:sz w:val="21"/>
          <w:szCs w:val="21"/>
        </w:rPr>
        <w:t xml:space="preserve">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pPr>
        <w:pStyle w:val="Heading3"/>
        <w:spacing w:before="220" w:after="120"/>
      </w:pPr>
      <w:r>
        <w:rPr>
          <w:rFonts w:ascii="Arial" w:cs="Arial" w:eastAsia="Arial" w:hAnsi="Arial"/>
          <w:b/>
          <w:bCs/>
          <w:color w:val="404040"/>
          <w:sz w:val="22"/>
          <w:szCs w:val="22"/>
        </w:rPr>
        <w:t xml:space="preserve">3.3.5. Internet Edge Zóna</w:t>
      </w:r>
    </w:p>
    <w:p>
      <w:pPr>
        <w:spacing w:after="120" w:line="276"/>
        <w:jc w:val="both"/>
      </w:pPr>
      <w:r>
        <w:rPr>
          <w:rFonts w:ascii="Arial" w:cs="Arial" w:eastAsia="Arial" w:hAnsi="Arial"/>
          <w:sz w:val="21"/>
          <w:szCs w:val="21"/>
        </w:rPr>
        <w:t xml:space="preserve">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pPr>
        <w:spacing w:after="120" w:line="276"/>
        <w:jc w:val="both"/>
      </w:pPr>
      <w:r>
        <w:rPr>
          <w:rFonts w:ascii="Arial" w:cs="Arial" w:eastAsia="Arial" w:hAnsi="Arial"/>
          <w:sz w:val="21"/>
          <w:szCs w:val="21"/>
        </w:rPr>
        <w:t xml:space="preserve">A tervezett Internet Edge Zóna architekturája:</w:t>
      </w:r>
    </w:p>
    <w:p>
      <w:pPr>
        <w:pStyle w:val="ListParagraph"/>
        <w:numPr>
          <w:ilvl w:val="0"/>
          <w:numId w:val="2"/>
        </w:numPr>
        <w:spacing w:after="60" w:line="276"/>
      </w:pPr>
      <w:r>
        <w:rPr>
          <w:rFonts w:ascii="Arial" w:cs="Arial" w:eastAsia="Arial" w:hAnsi="Arial"/>
          <w:b/>
          <w:bCs/>
          <w:sz w:val="21"/>
          <w:szCs w:val="21"/>
        </w:rPr>
        <w:t xml:space="preserve">Beszerezendő Internet Edge switch-pár: </w:t>
      </w:r>
      <w:r>
        <w:rPr>
          <w:rFonts w:ascii="Arial" w:cs="Arial" w:eastAsia="Arial" w:hAnsi="Arial"/>
          <w:sz w:val="21"/>
          <w:szCs w:val="21"/>
        </w:rPr>
        <w:t xml:space="preserve">A BKT és KKT szerverteremben egy-egy dedikált switch, amelyek Layer 2 szolgáltatást nyújtanak az internet-szolgáltató (Pro M) routereinek.</w:t>
      </w:r>
    </w:p>
    <w:p>
      <w:pPr>
        <w:pStyle w:val="ListParagraph"/>
        <w:numPr>
          <w:ilvl w:val="0"/>
          <w:numId w:val="2"/>
        </w:numPr>
        <w:spacing w:after="60" w:line="276"/>
      </w:pPr>
      <w:r>
        <w:rPr>
          <w:rFonts w:ascii="Arial" w:cs="Arial" w:eastAsia="Arial" w:hAnsi="Arial"/>
          <w:b/>
          <w:bCs/>
          <w:sz w:val="21"/>
          <w:szCs w:val="21"/>
        </w:rPr>
        <w:t xml:space="preserve">BGP-alapú útvonal-redundancia: </w:t>
      </w:r>
      <w:r>
        <w:rPr>
          <w:rFonts w:ascii="Arial" w:cs="Arial" w:eastAsia="Arial" w:hAnsi="Arial"/>
          <w:sz w:val="21"/>
          <w:szCs w:val="21"/>
        </w:rPr>
        <w:t xml:space="preserve">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pPr>
        <w:pStyle w:val="ListParagraph"/>
        <w:numPr>
          <w:ilvl w:val="0"/>
          <w:numId w:val="2"/>
        </w:numPr>
        <w:spacing w:after="60" w:line="276"/>
      </w:pPr>
      <w:r>
        <w:rPr>
          <w:rFonts w:ascii="Arial" w:cs="Arial" w:eastAsia="Arial" w:hAnsi="Arial"/>
          <w:b/>
          <w:bCs/>
          <w:sz w:val="21"/>
          <w:szCs w:val="21"/>
        </w:rPr>
        <w:t xml:space="preserve">Tűzfal-integráció: </w:t>
      </w:r>
      <w:r>
        <w:rPr>
          <w:rFonts w:ascii="Arial" w:cs="Arial" w:eastAsia="Arial" w:hAnsi="Arial"/>
          <w:sz w:val="21"/>
          <w:szCs w:val="21"/>
        </w:rPr>
        <w:t xml:space="preserve">Az Internet Edge-ről a forgalom elsődlegesen a BKT-ban elhelyezett Fortigate tűzfalpár aktív tagjára irányul. Tűzfal-meghibásodás esetén a KKT-ban levő passzív tag automatikusan átveszi a forgalomkezelést.</w:t>
      </w:r>
    </w:p>
    <w:p>
      <w:pPr>
        <w:pStyle w:val="Heading3"/>
        <w:spacing w:before="220" w:after="120"/>
      </w:pPr>
      <w:r>
        <w:rPr>
          <w:rFonts w:ascii="Arial" w:cs="Arial" w:eastAsia="Arial" w:hAnsi="Arial"/>
          <w:b/>
          <w:bCs/>
          <w:color w:val="404040"/>
          <w:sz w:val="22"/>
          <w:szCs w:val="22"/>
        </w:rPr>
        <w:t xml:space="preserve">3.3.6. Enterprise Edge Zóna</w:t>
      </w:r>
    </w:p>
    <w:p>
      <w:pPr>
        <w:spacing w:after="120" w:line="276"/>
        <w:jc w:val="both"/>
      </w:pPr>
      <w:r>
        <w:rPr>
          <w:rFonts w:ascii="Arial" w:cs="Arial" w:eastAsia="Arial" w:hAnsi="Arial"/>
          <w:sz w:val="21"/>
          <w:szCs w:val="21"/>
        </w:rPr>
        <w:t xml:space="preserve">Az Enterprise Edge Zóna azokat a távoli telephelyeket integrálja a campushálózatba, amelyek méretukél vagy földrajzi elhelyezkedésük miatt nem csatlakoztathatók közvetlen optikai vagy szolgáltatói MPLS összeköttetéssel. Ezek a helyszínek Site-to-Site VPN-nel érik el a központi hálózatot.</w:t>
      </w:r>
    </w:p>
    <w:p>
      <w:pPr>
        <w:pStyle w:val="ListParagraph"/>
        <w:numPr>
          <w:ilvl w:val="0"/>
          <w:numId w:val="2"/>
        </w:numPr>
        <w:spacing w:after="60" w:line="276"/>
      </w:pPr>
      <w:r>
        <w:rPr>
          <w:rFonts w:ascii="Arial" w:cs="Arial" w:eastAsia="Arial" w:hAnsi="Arial"/>
          <w:b/>
          <w:bCs/>
          <w:sz w:val="21"/>
          <w:szCs w:val="21"/>
        </w:rPr>
        <w:t xml:space="preserve">Palo Alto HA pár: </w:t>
      </w:r>
      <w:r>
        <w:rPr>
          <w:rFonts w:ascii="Arial" w:cs="Arial" w:eastAsia="Arial" w:hAnsi="Arial"/>
          <w:sz w:val="21"/>
          <w:szCs w:val="21"/>
        </w:rPr>
        <w:t xml:space="preserve">A meglévő Palo Alto tűzfal redundáns, aktív–passzív konfigurációban működik. Logikailag a Fortigate perem-tűzfal mögött helyezkedik el, vagyis a VPN-forgalom a Fortigate-en áthaladva jut a belső hálózatra.</w:t>
      </w:r>
    </w:p>
    <w:p>
      <w:pPr>
        <w:pStyle w:val="ListParagraph"/>
        <w:numPr>
          <w:ilvl w:val="0"/>
          <w:numId w:val="2"/>
        </w:numPr>
        <w:spacing w:after="60" w:line="276"/>
      </w:pPr>
      <w:r>
        <w:rPr>
          <w:rFonts w:ascii="Arial" w:cs="Arial" w:eastAsia="Arial" w:hAnsi="Arial"/>
          <w:b/>
          <w:bCs/>
          <w:sz w:val="21"/>
          <w:szCs w:val="21"/>
        </w:rPr>
        <w:t xml:space="preserve">Telephelyi ISE-integráció: </w:t>
      </w:r>
      <w:r>
        <w:rPr>
          <w:rFonts w:ascii="Arial" w:cs="Arial" w:eastAsia="Arial" w:hAnsi="Arial"/>
          <w:sz w:val="21"/>
          <w:szCs w:val="21"/>
        </w:rPr>
        <w:t xml:space="preserve">A távoli telephelyeken is azonos ISE policy érvényesül: a felhasználók identitásuk, az eszközök MAC-címük alapján kerülnek a megfelelő VLAN-ba és SGT-csoportba, így a távoli helyszínekről érkező forgalomra is a központi jogosultsági mátrix szabályai érvényesek.</w:t>
      </w:r>
    </w:p>
    <w:p>
      <w:pPr>
        <w:pStyle w:val="ListParagraph"/>
        <w:numPr>
          <w:ilvl w:val="0"/>
          <w:numId w:val="2"/>
        </w:numPr>
        <w:spacing w:after="60" w:line="276"/>
      </w:pPr>
      <w:r>
        <w:rPr>
          <w:rFonts w:ascii="Arial" w:cs="Arial" w:eastAsia="Arial" w:hAnsi="Arial"/>
          <w:b/>
          <w:bCs/>
          <w:sz w:val="21"/>
          <w:szCs w:val="21"/>
        </w:rPr>
        <w:t xml:space="preserve">Támogatási módok: </w:t>
      </w:r>
      <w:r>
        <w:rPr>
          <w:rFonts w:ascii="Arial" w:cs="Arial" w:eastAsia="Arial" w:hAnsi="Arial"/>
          <w:sz w:val="21"/>
          <w:szCs w:val="21"/>
        </w:rPr>
        <w:t xml:space="preserve">A VPN mind telephely-összekötő (site-to-site), mind távmunka (remote access) üzemmódot kiszolgál, egységes Palo Alto policy-kezeléssel.</w:t>
      </w:r>
    </w:p>
    <w:p>
      <w:pPr>
        <w:pStyle w:val="Heading2"/>
        <w:spacing w:before="300" w:after="160"/>
      </w:pPr>
      <w:r>
        <w:rPr>
          <w:rFonts w:ascii="Arial" w:cs="Arial" w:eastAsia="Arial" w:hAnsi="Arial"/>
          <w:b/>
          <w:bCs/>
          <w:color w:val="2E75B6"/>
          <w:sz w:val="26"/>
          <w:szCs w:val="26"/>
        </w:rPr>
        <w:t xml:space="preserve">3.4. InterConnect réteg és redundancia-architektúra</w:t>
      </w:r>
    </w:p>
    <w:p>
      <w:pPr>
        <w:spacing w:after="120" w:line="276"/>
        <w:jc w:val="both"/>
      </w:pPr>
      <w:r>
        <w:rPr>
          <w:rFonts w:ascii="Arial" w:cs="Arial" w:eastAsia="Arial" w:hAnsi="Arial"/>
          <w:sz w:val="21"/>
          <w:szCs w:val="21"/>
        </w:rPr>
        <w:t xml:space="preserve">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pPr>
        <w:pStyle w:val="Heading3"/>
        <w:spacing w:before="220" w:after="120"/>
      </w:pPr>
      <w:r>
        <w:rPr>
          <w:rFonts w:ascii="Arial" w:cs="Arial" w:eastAsia="Arial" w:hAnsi="Arial"/>
          <w:b/>
          <w:bCs/>
          <w:color w:val="404040"/>
          <w:sz w:val="22"/>
          <w:szCs w:val="22"/>
        </w:rPr>
        <w:t xml:space="preserve">3.4.1. Az InterConnect elhelyezésének indoklása</w:t>
      </w:r>
    </w:p>
    <w:p>
      <w:pPr>
        <w:spacing w:after="120" w:line="276"/>
        <w:jc w:val="both"/>
      </w:pPr>
      <w:r>
        <w:rPr>
          <w:rFonts w:ascii="Arial" w:cs="Arial" w:eastAsia="Arial" w:hAnsi="Arial"/>
          <w:b/>
          <w:bCs/>
          <w:sz w:val="21"/>
          <w:szCs w:val="21"/>
        </w:rPr>
        <w:t xml:space="preserve">Alapvető architekturális döntés: </w:t>
      </w:r>
      <w:r>
        <w:rPr>
          <w:rFonts w:ascii="Arial" w:cs="Arial" w:eastAsia="Arial" w:hAnsi="Arial"/>
          <w:sz w:val="21"/>
          <w:szCs w:val="21"/>
        </w:rPr>
        <w:t xml:space="preserve">Az InterConnect hálózati eszközök tudatosan </w:t>
      </w:r>
      <w:r>
        <w:rPr>
          <w:rFonts w:ascii="Arial" w:cs="Arial" w:eastAsia="Arial" w:hAnsi="Arial"/>
          <w:b/>
          <w:bCs/>
          <w:i/>
          <w:iCs/>
          <w:sz w:val="21"/>
          <w:szCs w:val="21"/>
        </w:rPr>
        <w:t xml:space="preserve">nem a BKT és KKT szervertermekben</w:t>
      </w:r>
      <w:r>
        <w:rPr>
          <w:rFonts w:ascii="Arial" w:cs="Arial" w:eastAsia="Arial" w:hAnsi="Arial"/>
          <w:sz w:val="21"/>
          <w:szCs w:val="21"/>
        </w:rPr>
        <w:t xml:space="preserve"> kerülnek elhelyezésre, hanem földrajzilag független helyszíneken: a B52 és KBE épületek rendezőhelységeiben. Ennek indoka a következő redundáncia-elv:</w:t>
      </w:r>
    </w:p>
    <w:p>
      <w:pPr>
        <w:spacing w:after="120" w:line="276"/>
        <w:jc w:val="both"/>
      </w:pPr>
      <w:r>
        <w:rPr>
          <w:rFonts w:ascii="Arial" w:cs="Arial" w:eastAsia="Arial" w:hAnsi="Arial"/>
          <w:sz w:val="21"/>
          <w:szCs w:val="21"/>
        </w:rPr>
        <w:t xml:space="preserve">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Azzál, hogy az InterConnect eszközök független helyszíneken (B52, KBE) működnek, ezek az egyetlen, megmaradó útvonalat biztosítják a még üzemképes szerverterem felé – a teljes hálózat számára.</w:t>
      </w:r>
    </w:p>
    <w:p>
      <w:pPr>
        <w:pStyle w:val="Heading3"/>
        <w:spacing w:before="220" w:after="120"/>
      </w:pPr>
      <w:r>
        <w:rPr>
          <w:rFonts w:ascii="Arial" w:cs="Arial" w:eastAsia="Arial" w:hAnsi="Arial"/>
          <w:b/>
          <w:bCs/>
          <w:color w:val="404040"/>
          <w:sz w:val="22"/>
          <w:szCs w:val="22"/>
        </w:rPr>
        <w:t xml:space="preserve">3.4.2. Az InterConnect által biztosított redundancia</w:t>
      </w:r>
    </w:p>
    <w:p>
      <w:pPr>
        <w:spacing w:after="120" w:line="276"/>
        <w:jc w:val="both"/>
      </w:pPr>
      <w:r>
        <w:rPr>
          <w:rFonts w:ascii="Arial" w:cs="Arial" w:eastAsia="Arial" w:hAnsi="Arial"/>
          <w:sz w:val="21"/>
          <w:szCs w:val="21"/>
        </w:rPr>
        <w:t xml:space="preserve">Az InterConnect réteg nem csupán a két szerverterem közötti tranzitforgalmat biztosítja, hanem az alábbi rétegeknek és elemeknek is redundanciát nyújt:</w:t>
      </w:r>
    </w:p>
    <w:p>
      <w:pPr>
        <w:pStyle w:val="ListParagraph"/>
        <w:numPr>
          <w:ilvl w:val="0"/>
          <w:numId w:val="2"/>
        </w:numPr>
        <w:spacing w:after="60" w:line="276"/>
      </w:pPr>
      <w:r>
        <w:rPr>
          <w:rFonts w:ascii="Arial" w:cs="Arial" w:eastAsia="Arial" w:hAnsi="Arial"/>
          <w:b/>
          <w:bCs/>
          <w:sz w:val="21"/>
          <w:szCs w:val="21"/>
        </w:rPr>
        <w:t xml:space="preserve">Core réteg redundanciája: </w:t>
      </w:r>
      <w:r>
        <w:rPr>
          <w:rFonts w:ascii="Arial" w:cs="Arial" w:eastAsia="Arial" w:hAnsi="Arial"/>
          <w:sz w:val="21"/>
          <w:szCs w:val="21"/>
        </w:rPr>
        <w:t xml:space="preserve">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pPr>
        <w:pStyle w:val="ListParagraph"/>
        <w:numPr>
          <w:ilvl w:val="0"/>
          <w:numId w:val="2"/>
        </w:numPr>
        <w:spacing w:after="60" w:line="276"/>
      </w:pPr>
      <w:r>
        <w:rPr>
          <w:rFonts w:ascii="Arial" w:cs="Arial" w:eastAsia="Arial" w:hAnsi="Arial"/>
          <w:b/>
          <w:bCs/>
          <w:sz w:val="21"/>
          <w:szCs w:val="21"/>
        </w:rPr>
        <w:t xml:space="preserve">Disztribúciós réteg redundanciája: </w:t>
      </w:r>
      <w:r>
        <w:rPr>
          <w:rFonts w:ascii="Arial" w:cs="Arial" w:eastAsia="Arial" w:hAnsi="Arial"/>
          <w:sz w:val="21"/>
          <w:szCs w:val="21"/>
        </w:rPr>
        <w:t xml:space="preserve">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pPr>
        <w:pStyle w:val="ListParagraph"/>
        <w:numPr>
          <w:ilvl w:val="0"/>
          <w:numId w:val="2"/>
        </w:numPr>
        <w:spacing w:after="60" w:line="276"/>
      </w:pPr>
      <w:r>
        <w:rPr>
          <w:rFonts w:ascii="Arial" w:cs="Arial" w:eastAsia="Arial" w:hAnsi="Arial"/>
          <w:b/>
          <w:bCs/>
          <w:sz w:val="21"/>
          <w:szCs w:val="21"/>
        </w:rPr>
        <w:t xml:space="preserve">A BKT és KKT szervertermek további elemeinek redundanciája: </w:t>
      </w:r>
      <w:r>
        <w:rPr>
          <w:rFonts w:ascii="Arial" w:cs="Arial" w:eastAsia="Arial" w:hAnsi="Arial"/>
          <w:sz w:val="21"/>
          <w:szCs w:val="21"/>
        </w:rPr>
        <w:t xml:space="preserve">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pPr>
        <w:pStyle w:val="Heading3"/>
        <w:spacing w:before="220" w:after="120"/>
      </w:pPr>
      <w:r>
        <w:rPr>
          <w:rFonts w:ascii="Arial" w:cs="Arial" w:eastAsia="Arial" w:hAnsi="Arial"/>
          <w:b/>
          <w:bCs/>
          <w:color w:val="404040"/>
          <w:sz w:val="22"/>
          <w:szCs w:val="22"/>
        </w:rPr>
        <w:t xml:space="preserve">3.4.3. Az InterConnect fizikai topológiája</w:t>
      </w:r>
    </w:p>
    <w:p>
      <w:pPr>
        <w:spacing w:after="120" w:line="276"/>
        <w:jc w:val="both"/>
      </w:pPr>
      <w:r>
        <w:rPr>
          <w:rFonts w:ascii="Arial" w:cs="Arial" w:eastAsia="Arial" w:hAnsi="Arial"/>
          <w:sz w:val="21"/>
          <w:szCs w:val="21"/>
        </w:rPr>
        <w:t xml:space="preserve">Az InterConnect réteg a következő fizikai összeköttetési modellt követi:</w:t>
      </w:r>
    </w:p>
    <w:p>
      <w:pPr>
        <w:pStyle w:val="ListParagraph"/>
        <w:numPr>
          <w:ilvl w:val="0"/>
          <w:numId w:val="2"/>
        </w:numPr>
        <w:spacing w:after="60" w:line="276"/>
      </w:pPr>
      <w:r>
        <w:rPr>
          <w:rFonts w:ascii="Arial" w:cs="Arial" w:eastAsia="Arial" w:hAnsi="Arial"/>
          <w:b/>
          <w:bCs/>
          <w:sz w:val="21"/>
          <w:szCs w:val="21"/>
        </w:rPr>
        <w:t xml:space="preserve">B52 és KBE rendezőhelységek: </w:t>
      </w:r>
      <w:r>
        <w:rPr>
          <w:rFonts w:ascii="Arial" w:cs="Arial" w:eastAsia="Arial" w:hAnsi="Arial"/>
          <w:sz w:val="21"/>
          <w:szCs w:val="21"/>
        </w:rPr>
        <w:t xml:space="preserve">Az InterConnect eszközök e két, a szervertermektől független épületben kerülnek elhelyezésre. Mindkettő optikai összeköttetéssel elérhető a BKT és a KKT szerverteremből egyaránt.</w:t>
      </w:r>
    </w:p>
    <w:p>
      <w:pPr>
        <w:pStyle w:val="ListParagraph"/>
        <w:numPr>
          <w:ilvl w:val="0"/>
          <w:numId w:val="2"/>
        </w:numPr>
        <w:spacing w:after="60" w:line="276"/>
      </w:pPr>
      <w:r>
        <w:rPr>
          <w:rFonts w:ascii="Arial" w:cs="Arial" w:eastAsia="Arial" w:hAnsi="Arial"/>
          <w:b/>
          <w:bCs/>
          <w:sz w:val="21"/>
          <w:szCs w:val="21"/>
        </w:rPr>
        <w:t xml:space="preserve">Layer 2 és Layer 3 szolgáltatás: </w:t>
      </w:r>
      <w:r>
        <w:rPr>
          <w:rFonts w:ascii="Arial" w:cs="Arial" w:eastAsia="Arial" w:hAnsi="Arial"/>
          <w:sz w:val="21"/>
          <w:szCs w:val="21"/>
        </w:rPr>
        <w:t xml:space="preserve">Az InterConnect réteg mind Layer 2 (VLAN-kiterjedés a szervertermek között), mind Layer 3 (routolt forgalom) szolgáltatást nyújt, így az összes zóna (Core, Management, Szerver, Campus, Internet Edge) eszközei számára transzparens átvitelt biztosít.</w:t>
      </w:r>
    </w:p>
    <w:p>
      <w:pPr>
        <w:pStyle w:val="ListParagraph"/>
        <w:numPr>
          <w:ilvl w:val="0"/>
          <w:numId w:val="2"/>
        </w:numPr>
        <w:spacing w:after="60" w:line="276"/>
      </w:pPr>
      <w:r>
        <w:rPr>
          <w:rFonts w:ascii="Arial" w:cs="Arial" w:eastAsia="Arial" w:hAnsi="Arial"/>
          <w:b/>
          <w:bCs/>
          <w:sz w:val="21"/>
          <w:szCs w:val="21"/>
        </w:rPr>
        <w:t xml:space="preserve">Független tápellátás: </w:t>
      </w:r>
      <w:r>
        <w:rPr>
          <w:rFonts w:ascii="Arial" w:cs="Arial" w:eastAsia="Arial" w:hAnsi="Arial"/>
          <w:sz w:val="21"/>
          <w:szCs w:val="21"/>
        </w:rPr>
        <w:t xml:space="preserve">A B52 és KBE helyszínek tápellátása független a BKT és KKT szervertermekétől, így elektromos szünet, UPS-meghibásodás vagy tűzeset esetén az InterConnect réteg továbbra is működőképes.</w:t>
      </w:r>
    </w:p>
    <w:p>
      <w:pPr>
        <w:spacing w:after="120" w:line="276"/>
        <w:jc w:val="both"/>
      </w:pPr>
      <w:r>
        <w:rPr>
          <w:rFonts w:ascii="Arial" w:cs="Arial" w:eastAsia="Arial" w:hAnsi="Arial"/>
          <w:sz w:val="21"/>
          <w:szCs w:val="21"/>
        </w:rPr>
        <w:t xml:space="preserve">Az InterConnect redundancia-topológia részletes ábráját és az egyes összeköttetések specifikációját a „SOTE Hálózatfejlesztés” Visio fájl „Tervezett Redundancia” füle tartalmazza.</w:t>
      </w:r>
    </w:p>
    <w:p>
      <w:pPr>
        <w:pStyle w:val="Heading2"/>
        <w:spacing w:before="300" w:after="160"/>
      </w:pPr>
      <w:r>
        <w:rPr>
          <w:rFonts w:ascii="Arial" w:cs="Arial" w:eastAsia="Arial" w:hAnsi="Arial"/>
          <w:b/>
          <w:bCs/>
          <w:color w:val="2E75B6"/>
          <w:sz w:val="26"/>
          <w:szCs w:val="26"/>
        </w:rPr>
        <w:t xml:space="preserve">3.5. Zónaelválasztás és biztonsági architektúra</w:t>
      </w:r>
    </w:p>
    <w:p>
      <w:pPr>
        <w:spacing w:after="120" w:line="276"/>
        <w:jc w:val="both"/>
      </w:pPr>
      <w:r>
        <w:rPr>
          <w:rFonts w:ascii="Arial" w:cs="Arial" w:eastAsia="Arial" w:hAnsi="Arial"/>
          <w:sz w:val="21"/>
          <w:szCs w:val="21"/>
        </w:rPr>
        <w:t xml:space="preserve">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pPr>
        <w:pStyle w:val="ListParagraph"/>
        <w:numPr>
          <w:ilvl w:val="0"/>
          <w:numId w:val="2"/>
        </w:numPr>
        <w:spacing w:after="60" w:line="276"/>
      </w:pPr>
      <w:r>
        <w:rPr>
          <w:rFonts w:ascii="Arial" w:cs="Arial" w:eastAsia="Arial" w:hAnsi="Arial"/>
          <w:b/>
          <w:bCs/>
          <w:sz w:val="21"/>
          <w:szCs w:val="21"/>
        </w:rPr>
        <w:t xml:space="preserve">Zónák közötti forgalom: </w:t>
      </w:r>
      <w:r>
        <w:rPr>
          <w:rFonts w:ascii="Arial" w:cs="Arial" w:eastAsia="Arial" w:hAnsi="Arial"/>
          <w:sz w:val="21"/>
          <w:szCs w:val="21"/>
        </w:rPr>
        <w:t xml:space="preserve">Szerver Zóna – Campus Zóna, Internet Edge – belső hálózat, OOB – Production közötti forgalom teljes ellenőrzése.</w:t>
      </w:r>
    </w:p>
    <w:p>
      <w:pPr>
        <w:pStyle w:val="ListParagraph"/>
        <w:numPr>
          <w:ilvl w:val="0"/>
          <w:numId w:val="2"/>
        </w:numPr>
        <w:spacing w:after="60" w:line="276"/>
      </w:pPr>
      <w:r>
        <w:rPr>
          <w:rFonts w:ascii="Arial" w:cs="Arial" w:eastAsia="Arial" w:hAnsi="Arial"/>
          <w:b/>
          <w:bCs/>
          <w:sz w:val="21"/>
          <w:szCs w:val="21"/>
        </w:rPr>
        <w:t xml:space="preserve">Szegmensek közötti mikro-szegmentáció: </w:t>
      </w:r>
      <w:r>
        <w:rPr>
          <w:rFonts w:ascii="Arial" w:cs="Arial" w:eastAsia="Arial" w:hAnsi="Arial"/>
          <w:sz w:val="21"/>
          <w:szCs w:val="21"/>
        </w:rPr>
        <w:t xml:space="preserve">A Szerver Zónán belül a Medikai szegmens nem látja a Gazdasági szegmenst közvetlenül; a Biztonságtechnikai szegmens teljesen izolált – a jogosultsági mátrixban definiált explicit szabályrendszer szerint.</w:t>
      </w:r>
    </w:p>
    <w:p>
      <w:pPr>
        <w:pStyle w:val="ListParagraph"/>
        <w:numPr>
          <w:ilvl w:val="0"/>
          <w:numId w:val="2"/>
        </w:numPr>
        <w:spacing w:after="60" w:line="276"/>
      </w:pPr>
      <w:r>
        <w:rPr>
          <w:rFonts w:ascii="Arial" w:cs="Arial" w:eastAsia="Arial" w:hAnsi="Arial"/>
          <w:b/>
          <w:bCs/>
          <w:sz w:val="21"/>
          <w:szCs w:val="21"/>
        </w:rPr>
        <w:t xml:space="preserve">VPN-forgalom: </w:t>
      </w:r>
      <w:r>
        <w:rPr>
          <w:rFonts w:ascii="Arial" w:cs="Arial" w:eastAsia="Arial" w:hAnsi="Arial"/>
          <w:sz w:val="21"/>
          <w:szCs w:val="21"/>
        </w:rPr>
        <w:t xml:space="preserve">A Palo Alto HA pár kezeli, amely logikailag a Fortigate mögött helyezkedik el.</w:t>
      </w:r>
    </w:p>
    <w:p>
      <w:pPr>
        <w:pStyle w:val="ListParagraph"/>
        <w:numPr>
          <w:ilvl w:val="0"/>
          <w:numId w:val="2"/>
        </w:numPr>
        <w:spacing w:after="60" w:line="276"/>
      </w:pPr>
      <w:r>
        <w:rPr>
          <w:rFonts w:ascii="Arial" w:cs="Arial" w:eastAsia="Arial" w:hAnsi="Arial"/>
          <w:b/>
          <w:bCs/>
          <w:sz w:val="21"/>
          <w:szCs w:val="21"/>
        </w:rPr>
        <w:t xml:space="preserve">SGT-alapú szabályozás (célállapot): </w:t>
      </w:r>
      <w:r>
        <w:rPr>
          <w:rFonts w:ascii="Arial" w:cs="Arial" w:eastAsia="Arial" w:hAnsi="Arial"/>
          <w:sz w:val="21"/>
          <w:szCs w:val="21"/>
        </w:rPr>
        <w:t xml:space="preserve">Hosszabb távon a Fortigate és Palo Alto eszközök felkészítése az ISE SGT-címkék közvetlen értelmezésére, ami IP-tartománytól független, identitás-alapú forgalomszűrést tesz lehetővé. Jelenleg ez még IP-tartomány szintjén valósul meg.</w:t>
      </w:r>
    </w:p>
    <w:p>
      <w:pPr>
        <w:pStyle w:val="Heading2"/>
        <w:spacing w:before="300" w:after="160"/>
      </w:pPr>
      <w:r>
        <w:rPr>
          <w:rFonts w:ascii="Arial" w:cs="Arial" w:eastAsia="Arial" w:hAnsi="Arial"/>
          <w:b/>
          <w:bCs/>
          <w:color w:val="2E75B6"/>
          <w:sz w:val="26"/>
          <w:szCs w:val="26"/>
        </w:rPr>
        <w:t xml:space="preserve">3.6. Dinamikus hálózat-hozzáférés és ISE policy-rendszer</w:t>
      </w:r>
    </w:p>
    <w:p>
      <w:pPr>
        <w:spacing w:after="120" w:line="276"/>
        <w:jc w:val="both"/>
      </w:pPr>
      <w:r>
        <w:rPr>
          <w:rFonts w:ascii="Arial" w:cs="Arial" w:eastAsia="Arial" w:hAnsi="Arial"/>
          <w:sz w:val="21"/>
          <w:szCs w:val="21"/>
        </w:rPr>
        <w:t xml:space="preserve">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pPr>
        <w:pStyle w:val="Heading3"/>
        <w:spacing w:before="220" w:after="120"/>
      </w:pPr>
      <w:r>
        <w:rPr>
          <w:rFonts w:ascii="Arial" w:cs="Arial" w:eastAsia="Arial" w:hAnsi="Arial"/>
          <w:b/>
          <w:bCs/>
          <w:color w:val="404040"/>
          <w:sz w:val="22"/>
          <w:szCs w:val="22"/>
        </w:rPr>
        <w:t xml:space="preserve">3.6.1. A kliens-migráció kérdése</w:t>
      </w:r>
    </w:p>
    <w:p>
      <w:pPr>
        <w:spacing w:after="120" w:line="276"/>
        <w:jc w:val="both"/>
      </w:pPr>
      <w:r>
        <w:rPr>
          <w:rFonts w:ascii="Arial" w:cs="Arial" w:eastAsia="Arial" w:hAnsi="Arial"/>
          <w:sz w:val="21"/>
          <w:szCs w:val="21"/>
        </w:rPr>
        <w:t xml:space="preserve">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pPr>
        <w:spacing w:after="120" w:line="276"/>
        <w:jc w:val="both"/>
      </w:pPr>
      <w:r>
        <w:rPr>
          <w:rFonts w:ascii="Arial" w:cs="Arial" w:eastAsia="Arial" w:hAnsi="Arial"/>
          <w:sz w:val="21"/>
          <w:szCs w:val="21"/>
        </w:rPr>
        <w:t xml:space="preserve">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pPr>
        <w:spacing w:after="120" w:line="276"/>
        <w:jc w:val="both"/>
      </w:pPr>
      <w:r>
        <w:rPr>
          <w:rFonts w:ascii="Arial" w:cs="Arial" w:eastAsia="Arial" w:hAnsi="Arial"/>
          <w:b/>
          <w:bCs/>
          <w:sz w:val="21"/>
          <w:szCs w:val="21"/>
        </w:rPr>
        <w:t xml:space="preserve">A javasolt megközelítés </w:t>
      </w:r>
      <w:r>
        <w:rPr>
          <w:rFonts w:ascii="Arial" w:cs="Arial" w:eastAsia="Arial" w:hAnsi="Arial"/>
          <w:sz w:val="21"/>
          <w:szCs w:val="21"/>
        </w:rPr>
        <w:t xml:space="preserve">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pPr>
        <w:spacing w:after="120" w:line="276"/>
        <w:jc w:val="both"/>
      </w:pPr>
      <w:r>
        <w:rPr>
          <w:rFonts w:ascii="Arial" w:cs="Arial" w:eastAsia="Arial" w:hAnsi="Arial"/>
          <w:sz w:val="21"/>
          <w:szCs w:val="21"/>
        </w:rPr>
        <w:t xml:space="preserve">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pPr>
        <w:pStyle w:val="Heading3"/>
        <w:spacing w:before="220" w:after="120"/>
      </w:pPr>
      <w:r>
        <w:rPr>
          <w:rFonts w:ascii="Arial" w:cs="Arial" w:eastAsia="Arial" w:hAnsi="Arial"/>
          <w:b/>
          <w:bCs/>
          <w:color w:val="404040"/>
          <w:sz w:val="22"/>
          <w:szCs w:val="22"/>
        </w:rPr>
        <w:t xml:space="preserve">3.6.2. Az ISE policy-rendszer működési logikája</w:t>
      </w:r>
    </w:p>
    <w:p>
      <w:pPr>
        <w:spacing w:after="120" w:line="276"/>
        <w:jc w:val="both"/>
      </w:pPr>
      <w:r>
        <w:rPr>
          <w:rFonts w:ascii="Arial" w:cs="Arial" w:eastAsia="Arial" w:hAnsi="Arial"/>
          <w:sz w:val="21"/>
          <w:szCs w:val="21"/>
        </w:rPr>
        <w:t xml:space="preserve">Az ISE-alapú dinamikus hálózat a következő lépések mentén működik:</w:t>
      </w:r>
    </w:p>
    <w:p>
      <w:pPr>
        <w:pStyle w:val="ListParagraph"/>
        <w:numPr>
          <w:ilvl w:val="0"/>
          <w:numId w:val="2"/>
        </w:numPr>
        <w:spacing w:after="60" w:line="276"/>
      </w:pPr>
      <w:r>
        <w:rPr>
          <w:rFonts w:ascii="Arial" w:cs="Arial" w:eastAsia="Arial" w:hAnsi="Arial"/>
          <w:b/>
          <w:bCs/>
          <w:sz w:val="21"/>
          <w:szCs w:val="21"/>
        </w:rPr>
        <w:t xml:space="preserve">1. Eszköz-/felhasználó-azonosítás: </w:t>
      </w:r>
      <w:r>
        <w:rPr>
          <w:rFonts w:ascii="Arial" w:cs="Arial" w:eastAsia="Arial" w:hAnsi="Arial"/>
          <w:sz w:val="21"/>
          <w:szCs w:val="21"/>
        </w:rPr>
        <w:t xml:space="preserve">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pPr>
        <w:pStyle w:val="ListParagraph"/>
        <w:numPr>
          <w:ilvl w:val="0"/>
          <w:numId w:val="2"/>
        </w:numPr>
        <w:spacing w:after="60" w:line="276"/>
      </w:pPr>
      <w:r>
        <w:rPr>
          <w:rFonts w:ascii="Arial" w:cs="Arial" w:eastAsia="Arial" w:hAnsi="Arial"/>
          <w:b/>
          <w:bCs/>
          <w:sz w:val="21"/>
          <w:szCs w:val="21"/>
        </w:rPr>
        <w:t xml:space="preserve">2. Dinamikus VLAN-hozzárendelés: </w:t>
      </w:r>
      <w:r>
        <w:rPr>
          <w:rFonts w:ascii="Arial" w:cs="Arial" w:eastAsia="Arial" w:hAnsi="Arial"/>
          <w:sz w:val="21"/>
          <w:szCs w:val="21"/>
        </w:rPr>
        <w:t xml:space="preserve">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pPr>
        <w:pStyle w:val="ListParagraph"/>
        <w:numPr>
          <w:ilvl w:val="0"/>
          <w:numId w:val="2"/>
        </w:numPr>
        <w:spacing w:after="60" w:line="276"/>
      </w:pPr>
      <w:r>
        <w:rPr>
          <w:rFonts w:ascii="Arial" w:cs="Arial" w:eastAsia="Arial" w:hAnsi="Arial"/>
          <w:b/>
          <w:bCs/>
          <w:sz w:val="21"/>
          <w:szCs w:val="21"/>
        </w:rPr>
        <w:t xml:space="preserve">3. SGT (Security Group Tag) hozzárendelés: </w:t>
      </w:r>
      <w:r>
        <w:rPr>
          <w:rFonts w:ascii="Arial" w:cs="Arial" w:eastAsia="Arial" w:hAnsi="Arial"/>
          <w:sz w:val="21"/>
          <w:szCs w:val="21"/>
        </w:rPr>
        <w:t xml:space="preserve">Az ISE a VLAN-kiosztással egyidejűleg SGT-címkét rendel az eszközhöz. Ez a címke a Cisco TrustSec keretrendszerben a hálózat egészén kíséri a forgalmat, lehetővé téve IP-címtől független hozzáférés-szabályozást.</w:t>
      </w:r>
    </w:p>
    <w:p>
      <w:pPr>
        <w:pStyle w:val="ListParagraph"/>
        <w:numPr>
          <w:ilvl w:val="0"/>
          <w:numId w:val="2"/>
        </w:numPr>
        <w:spacing w:after="60" w:line="276"/>
      </w:pPr>
      <w:r>
        <w:rPr>
          <w:rFonts w:ascii="Arial" w:cs="Arial" w:eastAsia="Arial" w:hAnsi="Arial"/>
          <w:b/>
          <w:bCs/>
          <w:sz w:val="21"/>
          <w:szCs w:val="21"/>
        </w:rPr>
        <w:t xml:space="preserve">4. Jogosultsági mátrix alkalmazása: </w:t>
      </w:r>
      <w:r>
        <w:rPr>
          <w:rFonts w:ascii="Arial" w:cs="Arial" w:eastAsia="Arial" w:hAnsi="Arial"/>
          <w:sz w:val="21"/>
          <w:szCs w:val="21"/>
        </w:rPr>
        <w:t xml:space="preserve">A klienscsoportok és szerver-szegmensek közötti engedélyezési/tiltási szabályokat a jogosultsági mátrix (lásd 3.7. alfejezet) határozza meg. A szabályozás jelenleg IP-tartomány alapon működik a tűzfalakon; a célállapot az SGT-alapú natív forgalomszűrés.</w:t>
      </w:r>
    </w:p>
    <w:p>
      <w:pPr>
        <w:pStyle w:val="Heading2"/>
        <w:spacing w:before="300" w:after="160"/>
      </w:pPr>
      <w:r>
        <w:rPr>
          <w:rFonts w:ascii="Arial" w:cs="Arial" w:eastAsia="Arial" w:hAnsi="Arial"/>
          <w:b/>
          <w:bCs/>
          <w:color w:val="2E75B6"/>
          <w:sz w:val="26"/>
          <w:szCs w:val="26"/>
        </w:rPr>
        <w:t xml:space="preserve">3.7. Jogosultsági mátrix</w:t>
      </w:r>
    </w:p>
    <w:p>
      <w:pPr>
        <w:spacing w:after="120" w:line="276"/>
        <w:jc w:val="both"/>
      </w:pPr>
      <w:r>
        <w:rPr>
          <w:rFonts w:ascii="Arial" w:cs="Arial" w:eastAsia="Arial" w:hAnsi="Arial"/>
          <w:sz w:val="21"/>
          <w:szCs w:val="21"/>
        </w:rPr>
        <w:t xml:space="preserve">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pPr>
        <w:spacing w:after="120" w:line="276"/>
        <w:jc w:val="both"/>
      </w:pPr>
      <w:r>
        <w:rPr>
          <w:rFonts w:ascii="Arial" w:cs="Arial" w:eastAsia="Arial" w:hAnsi="Arial"/>
          <w:b/>
          <w:bCs/>
          <w:i/>
          <w:iCs/>
          <w:sz w:val="21"/>
          <w:szCs w:val="21"/>
        </w:rPr>
        <w:t xml:space="preserve">Fontos megjegyzés: </w:t>
      </w:r>
      <w:r>
        <w:rPr>
          <w:rFonts w:ascii="Arial" w:cs="Arial" w:eastAsia="Arial" w:hAnsi="Arial"/>
          <w:sz w:val="21"/>
          <w:szCs w:val="21"/>
        </w:rPr>
        <w:t xml:space="preserve">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pPr>
        <w:pStyle w:val="Heading3"/>
        <w:spacing w:before="220" w:after="120"/>
      </w:pPr>
      <w:r>
        <w:rPr>
          <w:rFonts w:ascii="Arial" w:cs="Arial" w:eastAsia="Arial" w:hAnsi="Arial"/>
          <w:b/>
          <w:bCs/>
          <w:color w:val="404040"/>
          <w:sz w:val="22"/>
          <w:szCs w:val="22"/>
        </w:rPr>
        <w:t xml:space="preserve">3.7.1. Kliens oldali csoportok</w:t>
      </w:r>
    </w:p>
    <w:p>
      <w:pPr>
        <w:spacing w:after="120" w:line="276"/>
        <w:jc w:val="both"/>
      </w:pPr>
      <w:r>
        <w:rPr>
          <w:rFonts w:ascii="Arial" w:cs="Arial" w:eastAsia="Arial" w:hAnsi="Arial"/>
          <w:sz w:val="21"/>
          <w:szCs w:val="21"/>
        </w:rPr>
        <w:t xml:space="preserve">A jogosultsági mátrix a kliens oldali hozzáférést két dimenzió mentén határozza meg: Active Directory csoporttagsság (felhasználó-alapú) és MAC-cím csoport (eszköz-alapú). Az alábbi táblázat összefoglalja az összes definiált klienscsoportot: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00"/>
        <w:gridCol w:w="1526"/>
        <w:gridCol w:w="30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 Csoport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VLAN név</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VLAN ID</w:t>
            </w:r>
          </w:p>
        </w:tc>
        <w:tc>
          <w:tcPr>
            <w:tcW w:type="dxa" w:w="1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SSID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Leírás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INFADMIN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INFADMIN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422</w:t>
            </w:r>
          </w:p>
        </w:tc>
        <w:tc>
          <w:tcPr>
            <w:tcW w:type="dxa" w:w="1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Informatikai adminisztrátorok – teljes hálózati hozzáférés (Management szegmenst is beleértve)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DOLG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DOLG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2000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Általános dolgozók – alapszintű hozzáférés (Intranet, TV, Internet)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MEDI</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w:t>
            </w:r>
          </w:p>
        </w:tc>
        <w:tc>
          <w:tcPr>
            <w:tcW w:type="dxa" w:w="1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Orvosi/klinikai dolgozók – Intranet + Medikai szegmens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TANU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Hallgatók/tanulók – Intranet + E-learning + Neptun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GAZD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w:t>
            </w:r>
          </w:p>
        </w:tc>
        <w:tc>
          <w:tcPr>
            <w:tcW w:type="dxa" w:w="1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Gazdasági dolgozók – Intranet + Iktató + Gazdasági szegmens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INFI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Informatikai munkatársak – szinte teljes hozzáférés, de Management szegmens tiltott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BIZT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w:t>
            </w:r>
          </w:p>
        </w:tc>
        <w:tc>
          <w:tcPr>
            <w:tcW w:type="dxa" w:w="1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Biztonságtechnikai munkatársak – Intranet + Biztonságtechnika szegmens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VEND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sz w:val="18"/>
                <w:szCs w:val="18"/>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Semmelweis-Vendeg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Vendégek – kizárólag internet-hozzáférés, belső erőforrás tiltott</w:t>
            </w:r>
          </w:p>
        </w:tc>
      </w:tr>
    </w:tbl>
    <w:p>
      <w:pPr>
        <w:spacing w:after="60"/>
      </w:pPr>
    </w:p>
    <w:p>
      <w:pPr>
        <w:spacing w:after="120" w:line="276"/>
        <w:jc w:val="both"/>
      </w:pPr>
      <w:r>
        <w:rPr>
          <w:rFonts w:ascii="Arial" w:cs="Arial" w:eastAsia="Arial" w:hAnsi="Arial"/>
          <w:sz w:val="21"/>
          <w:szCs w:val="21"/>
        </w:rPr>
        <w:t xml:space="preserve">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pPr>
        <w:spacing w:after="120" w:line="276"/>
        <w:jc w:val="both"/>
      </w:pPr>
      <w:r>
        <w:rPr>
          <w:rFonts w:ascii="Arial" w:cs="Arial" w:eastAsia="Arial" w:hAnsi="Arial"/>
          <w:sz w:val="21"/>
          <w:szCs w:val="21"/>
        </w:rPr>
        <w:t xml:space="preserve">Az eszköz-alapú (MAC) csoportok: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MAC Csoport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SSID</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Leírás és hozzáférés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MEDMOB</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IoT</w:t>
            </w:r>
          </w:p>
        </w:tc>
        <w:tc>
          <w:tcPr>
            <w:tcW w:type="dxa" w:w="6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Mobil medikai eszközök (jelenleg a MEDMOB SSID-ről / VLAN 220-ról az IoT SSID-re kerülnek átvezetésre). Hozzáférés: Intranet, Medikai, Internet.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TV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IoT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IP TV eszközök. Hozzáférés: Kliens VLAN-ok és Internet. Szerver szegmensekhez nincs hozzáférés.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Camera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IoT</w:t>
            </w:r>
          </w:p>
        </w:tc>
        <w:tc>
          <w:tcPr>
            <w:tcW w:type="dxa" w:w="6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IP kamerák (Hikvision). Hozzáférés: kizárólag a Biztonságtechnika szegmens. Minden más tiltott, beleértve az internetet is.</w:t>
            </w:r>
          </w:p>
        </w:tc>
      </w:tr>
    </w:tbl>
    <w:p>
      <w:pPr>
        <w:spacing w:after="60"/>
      </w:pPr>
    </w:p>
    <w:p>
      <w:pPr>
        <w:pStyle w:val="Heading3"/>
        <w:spacing w:before="220" w:after="120"/>
      </w:pPr>
      <w:r>
        <w:rPr>
          <w:rFonts w:ascii="Arial" w:cs="Arial" w:eastAsia="Arial" w:hAnsi="Arial"/>
          <w:b/>
          <w:bCs/>
          <w:color w:val="404040"/>
          <w:sz w:val="22"/>
          <w:szCs w:val="22"/>
        </w:rPr>
        <w:t xml:space="preserve">3.7.2. Hozzáférési mátrix – Kliens × Szerver szegmensek</w:t>
      </w:r>
    </w:p>
    <w:p>
      <w:pPr>
        <w:spacing w:after="120" w:line="276"/>
        <w:jc w:val="both"/>
      </w:pPr>
      <w:r>
        <w:rPr>
          <w:rFonts w:ascii="Arial" w:cs="Arial" w:eastAsia="Arial" w:hAnsi="Arial"/>
          <w:sz w:val="21"/>
          <w:szCs w:val="21"/>
        </w:rPr>
        <w:t xml:space="preserve">Az alábbi mátrix szemlélteti az egyes klienscsoportok és szerver-szegmensek közötti engedélyezési (✓) és tiltási (✗) szabályokat. A zöld háttér engedélyezett forgalmat, a piros háttér tiltott forgalmat jelent.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57"/>
        <w:gridCol w:w="657"/>
        <w:gridCol w:w="657"/>
        <w:gridCol w:w="657"/>
        <w:gridCol w:w="657"/>
        <w:gridCol w:w="657"/>
        <w:gridCol w:w="657"/>
        <w:gridCol w:w="657"/>
        <w:gridCol w:w="657"/>
        <w:gridCol w:w="657"/>
        <w:gridCol w:w="657"/>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Kliens</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Intra</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Ikt</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Nept</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Gazd</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Bizt</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Mgmt</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TV</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Kli</w:t>
            </w:r>
          </w:p>
        </w:tc>
        <w:tc>
          <w:tcPr>
            <w:tcW w:type="dxa" w:w="657"/>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INFADMIN</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DOLG</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MEDI</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TANU</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GAZD</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MEDI&amp;TANU</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MEDI&amp;GAZD</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M&amp;G&amp;T</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GAZD&amp;TANU</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INFI</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BIZT</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MEDMOB</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TV (IoT)</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Camera</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VEND</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FFEBEE" w:val="clear"/>
            <w:tcMar>
              <w:top w:type="dxa" w:w="40"/>
              <w:left w:type="dxa" w:w="40"/>
              <w:bottom w:type="dxa" w:w="40"/>
              <w:right w:type="dxa" w:w="40"/>
            </w:tcMar>
            <w:vAlign w:val="center"/>
          </w:tcPr>
          <w:p>
            <w:pPr>
              <w:spacing w:after="0"/>
              <w:jc w:val="center"/>
            </w:pPr>
            <w:r>
              <w:rPr>
                <w:rFonts w:ascii="Arial" w:cs="Arial" w:eastAsia="Arial" w:hAnsi="Arial"/>
                <w:b/>
                <w:bCs/>
                <w:color w:val="C62828"/>
                <w:sz w:val="18"/>
                <w:szCs w:val="18"/>
              </w:rPr>
              <w:t xml:space="preserve">✗</w:t>
            </w:r>
          </w:p>
        </w:tc>
        <w:tc>
          <w:tcPr>
            <w:tcW w:type="dxa" w:w="657"/>
            <w:tcBorders>
              <w:top w:val="single" w:color="CCCCCC" w:sz="1"/>
              <w:left w:val="single" w:color="CCCCCC" w:sz="1"/>
              <w:bottom w:val="single" w:color="CCCCCC" w:sz="1"/>
              <w:right w:val="single" w:color="CCCCCC" w:sz="1"/>
            </w:tcBorders>
            <w:shd w:fill="E8F5E9" w:val="clear"/>
            <w:tcMar>
              <w:top w:type="dxa" w:w="40"/>
              <w:left w:type="dxa" w:w="40"/>
              <w:bottom w:type="dxa" w:w="40"/>
              <w:right w:type="dxa" w:w="40"/>
            </w:tcMar>
            <w:vAlign w:val="center"/>
          </w:tcPr>
          <w:p>
            <w:pPr>
              <w:spacing w:after="0"/>
              <w:jc w:val="center"/>
            </w:pPr>
            <w:r>
              <w:rPr>
                <w:rFonts w:ascii="Arial" w:cs="Arial" w:eastAsia="Arial" w:hAnsi="Arial"/>
                <w:b/>
                <w:bCs/>
                <w:color w:val="2E7D32"/>
                <w:sz w:val="18"/>
                <w:szCs w:val="18"/>
              </w:rPr>
              <w:t xml:space="preserve">✓</w:t>
            </w:r>
          </w:p>
        </w:tc>
      </w:tr>
    </w:tbl>
    <w:p>
      <w:pPr>
        <w:spacing w:after="60"/>
      </w:pPr>
    </w:p>
    <w:p>
      <w:pPr>
        <w:spacing w:after="120" w:line="276"/>
        <w:jc w:val="both"/>
      </w:pPr>
      <w:r>
        <w:rPr>
          <w:rFonts w:ascii="Arial" w:cs="Arial" w:eastAsia="Arial" w:hAnsi="Arial"/>
          <w:i/>
          <w:iCs/>
          <w:color w:val="666666"/>
          <w:sz w:val="18"/>
          <w:szCs w:val="18"/>
        </w:rPr>
        <w:t xml:space="preserve">A mátrix oszlop-rövidítései: Intra = Intranet, Medi = Medikai, E-l = E-learning, Ikt = Iktató, Nept = Neptun Vastag Kliens, Gazd = Gazdasági, Bizt = Biztonságtechnika, Mgmt = Management, TV = TV, Kli = Kliens VLAN-ok, Net = Internet.</w:t>
      </w:r>
    </w:p>
    <w:p>
      <w:pPr>
        <w:spacing w:after="60"/>
      </w:pPr>
    </w:p>
    <w:p>
      <w:pPr>
        <w:spacing w:after="120" w:line="276"/>
        <w:jc w:val="both"/>
      </w:pPr>
      <w:r>
        <w:rPr>
          <w:rFonts w:ascii="Arial" w:cs="Arial" w:eastAsia="Arial" w:hAnsi="Arial"/>
          <w:sz w:val="21"/>
          <w:szCs w:val="21"/>
        </w:rPr>
        <w:t xml:space="preserve">A mátrix legfontosabb logikái:</w:t>
      </w:r>
    </w:p>
    <w:p>
      <w:pPr>
        <w:pStyle w:val="ListParagraph"/>
        <w:numPr>
          <w:ilvl w:val="0"/>
          <w:numId w:val="2"/>
        </w:numPr>
        <w:spacing w:after="60" w:line="276"/>
      </w:pPr>
      <w:r>
        <w:rPr>
          <w:rFonts w:ascii="Arial" w:cs="Arial" w:eastAsia="Arial" w:hAnsi="Arial"/>
          <w:b/>
          <w:bCs/>
          <w:sz w:val="21"/>
          <w:szCs w:val="21"/>
        </w:rPr>
        <w:t xml:space="preserve">Legkevesebb jogosultság (least privilege): </w:t>
      </w:r>
      <w:r>
        <w:rPr>
          <w:rFonts w:ascii="Arial" w:cs="Arial" w:eastAsia="Arial" w:hAnsi="Arial"/>
          <w:sz w:val="21"/>
          <w:szCs w:val="21"/>
        </w:rPr>
        <w:t xml:space="preserve">Minden csoport kizárólag a munkájához szükséges szegmenseket éri el. A DOLG (generalísta dolgozó) például csak az Intranet-et, TV-t és az internetet látja.</w:t>
      </w:r>
    </w:p>
    <w:p>
      <w:pPr>
        <w:pStyle w:val="ListParagraph"/>
        <w:numPr>
          <w:ilvl w:val="0"/>
          <w:numId w:val="2"/>
        </w:numPr>
        <w:spacing w:after="60" w:line="276"/>
      </w:pPr>
      <w:r>
        <w:rPr>
          <w:rFonts w:ascii="Arial" w:cs="Arial" w:eastAsia="Arial" w:hAnsi="Arial"/>
          <w:b/>
          <w:bCs/>
          <w:sz w:val="21"/>
          <w:szCs w:val="21"/>
        </w:rPr>
        <w:t xml:space="preserve">Teljes Management-izoláció: </w:t>
      </w:r>
      <w:r>
        <w:rPr>
          <w:rFonts w:ascii="Arial" w:cs="Arial" w:eastAsia="Arial" w:hAnsi="Arial"/>
          <w:sz w:val="21"/>
          <w:szCs w:val="21"/>
        </w:rPr>
        <w:t xml:space="preserve">A Management szegmenst kizárólag az INFADMIN csoport éri el. Még az INFI (informatikai) csoport is ki van zárva.</w:t>
      </w:r>
    </w:p>
    <w:p>
      <w:pPr>
        <w:pStyle w:val="ListParagraph"/>
        <w:numPr>
          <w:ilvl w:val="0"/>
          <w:numId w:val="2"/>
        </w:numPr>
        <w:spacing w:after="60" w:line="276"/>
      </w:pPr>
      <w:r>
        <w:rPr>
          <w:rFonts w:ascii="Arial" w:cs="Arial" w:eastAsia="Arial" w:hAnsi="Arial"/>
          <w:b/>
          <w:bCs/>
          <w:sz w:val="21"/>
          <w:szCs w:val="21"/>
        </w:rPr>
        <w:t xml:space="preserve">IoT-eszközök maximális korlátozása: </w:t>
      </w:r>
      <w:r>
        <w:rPr>
          <w:rFonts w:ascii="Arial" w:cs="Arial" w:eastAsia="Arial" w:hAnsi="Arial"/>
          <w:sz w:val="21"/>
          <w:szCs w:val="21"/>
        </w:rPr>
        <w:t xml:space="preserve">A kamerák kizárólag a Biztonságtechnika szegmenst érik el – még az internet is tiltott számukra. A TV eszközök csak a Kliens VLAN-okkal és az internettel kommunikálhatnak.</w:t>
      </w:r>
    </w:p>
    <w:p>
      <w:pPr>
        <w:pStyle w:val="ListParagraph"/>
        <w:numPr>
          <w:ilvl w:val="0"/>
          <w:numId w:val="2"/>
        </w:numPr>
        <w:spacing w:after="60" w:line="276"/>
      </w:pPr>
      <w:r>
        <w:rPr>
          <w:rFonts w:ascii="Arial" w:cs="Arial" w:eastAsia="Arial" w:hAnsi="Arial"/>
          <w:b/>
          <w:bCs/>
          <w:sz w:val="21"/>
          <w:szCs w:val="21"/>
        </w:rPr>
        <w:t xml:space="preserve">Vendég-izoláció: </w:t>
      </w:r>
      <w:r>
        <w:rPr>
          <w:rFonts w:ascii="Arial" w:cs="Arial" w:eastAsia="Arial" w:hAnsi="Arial"/>
          <w:sz w:val="21"/>
          <w:szCs w:val="21"/>
        </w:rPr>
        <w:t xml:space="preserve">A VEND csoport kizárólag internetet ér el; semmilyen belső erőforráshoz nincs hozzáférése.</w:t>
      </w:r>
    </w:p>
    <w:p>
      <w:pPr>
        <w:pStyle w:val="ListParagraph"/>
        <w:numPr>
          <w:ilvl w:val="0"/>
          <w:numId w:val="2"/>
        </w:numPr>
        <w:spacing w:after="60" w:line="276"/>
      </w:pPr>
      <w:r>
        <w:rPr>
          <w:rFonts w:ascii="Arial" w:cs="Arial" w:eastAsia="Arial" w:hAnsi="Arial"/>
          <w:b/>
          <w:bCs/>
          <w:sz w:val="21"/>
          <w:szCs w:val="21"/>
        </w:rPr>
        <w:t xml:space="preserve">Kombinált csoportok unió-logikája: </w:t>
      </w:r>
      <w:r>
        <w:rPr>
          <w:rFonts w:ascii="Arial" w:cs="Arial" w:eastAsia="Arial" w:hAnsi="Arial"/>
          <w:sz w:val="21"/>
          <w:szCs w:val="21"/>
        </w:rPr>
        <w:t xml:space="preserve">A MEDI &amp; GAZD &amp; TANU hármas csoport például a Medikai, E-learning, Iktató, Neptun és Gazdasági szegmenseket egyaránt eléri – de a Biztonságtechnika és Management továbbra is tiltott.</w:t>
      </w:r>
    </w:p>
    <w:p>
      <w:pPr>
        <w:pStyle w:val="Heading2"/>
        <w:spacing w:before="300" w:after="160"/>
      </w:pPr>
      <w:r>
        <w:rPr>
          <w:rFonts w:ascii="Arial" w:cs="Arial" w:eastAsia="Arial" w:hAnsi="Arial"/>
          <w:b/>
          <w:bCs/>
          <w:color w:val="2E75B6"/>
          <w:sz w:val="26"/>
          <w:szCs w:val="26"/>
        </w:rPr>
        <w:t xml:space="preserve">3.8. Cisco SDA és Routed Access – megoldásváriánsok összehasonlítása</w:t>
      </w:r>
    </w:p>
    <w:p>
      <w:pPr>
        <w:spacing w:after="120" w:line="276"/>
        <w:jc w:val="both"/>
      </w:pPr>
      <w:r>
        <w:rPr>
          <w:rFonts w:ascii="Arial" w:cs="Arial" w:eastAsia="Arial" w:hAnsi="Arial"/>
          <w:sz w:val="21"/>
          <w:szCs w:val="21"/>
        </w:rPr>
        <w:t xml:space="preserve">A Campus Zóna Access rétegének implementációjára három lehetséges váriánst vizsgálunk: két Cisco SDA (Software-Defined Access) változatot és egy hagyományos Routed Access modellt. A részletes topológiákat a „SOTE Hálózatfejlesztés” Visio fájl „Tervezett SDA #1”, „Tervezett SDA #2” és „Tervezett Routed Access” fülei ábrázolják.</w:t>
      </w:r>
    </w:p>
    <w:p>
      <w:pPr>
        <w:spacing w:after="120" w:line="276"/>
        <w:jc w:val="both"/>
      </w:pPr>
      <w:r>
        <w:rPr>
          <w:rFonts w:ascii="Arial" w:cs="Arial" w:eastAsia="Arial" w:hAnsi="Arial"/>
          <w:b/>
          <w:bCs/>
          <w:sz w:val="21"/>
          <w:szCs w:val="21"/>
        </w:rPr>
        <w:t xml:space="preserve">Fontos kiemelés: </w:t>
      </w:r>
      <w:r>
        <w:rPr>
          <w:rFonts w:ascii="Arial" w:cs="Arial" w:eastAsia="Arial" w:hAnsi="Arial"/>
          <w:sz w:val="21"/>
          <w:szCs w:val="21"/>
        </w:rPr>
        <w:t xml:space="preserve">Mindkét SDA váriáns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pPr>
        <w:pStyle w:val="Heading3"/>
        <w:spacing w:before="220" w:after="120"/>
      </w:pPr>
      <w:r>
        <w:rPr>
          <w:rFonts w:ascii="Arial" w:cs="Arial" w:eastAsia="Arial" w:hAnsi="Arial"/>
          <w:b/>
          <w:bCs/>
          <w:color w:val="404040"/>
          <w:sz w:val="22"/>
          <w:szCs w:val="22"/>
        </w:rPr>
        <w:t xml:space="preserve">3.8.1. SDA Váriáns #1 – Full Edge a Disztribúcióban</w:t>
      </w:r>
    </w:p>
    <w:p>
      <w:pPr>
        <w:spacing w:after="120" w:line="276"/>
        <w:jc w:val="both"/>
      </w:pPr>
      <w:r>
        <w:rPr>
          <w:rFonts w:ascii="Arial" w:cs="Arial" w:eastAsia="Arial" w:hAnsi="Arial"/>
          <w:sz w:val="21"/>
          <w:szCs w:val="21"/>
        </w:rPr>
        <w:t xml:space="preserve">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pPr>
        <w:spacing w:after="120" w:line="276"/>
        <w:jc w:val="both"/>
      </w:pPr>
      <w:r>
        <w:rPr>
          <w:rFonts w:ascii="Arial" w:cs="Arial" w:eastAsia="Arial" w:hAnsi="Arial"/>
          <w:sz w:val="21"/>
          <w:szCs w:val="21"/>
        </w:rPr>
        <w:t xml:space="preserve">Ennek a megoldásnak a legfőbb előnyei:</w:t>
      </w:r>
    </w:p>
    <w:p>
      <w:pPr>
        <w:pStyle w:val="ListParagraph"/>
        <w:numPr>
          <w:ilvl w:val="0"/>
          <w:numId w:val="2"/>
        </w:numPr>
        <w:spacing w:after="60" w:line="276"/>
      </w:pPr>
      <w:r>
        <w:rPr>
          <w:rFonts w:ascii="Arial" w:cs="Arial" w:eastAsia="Arial" w:hAnsi="Arial"/>
          <w:b/>
          <w:bCs/>
          <w:sz w:val="21"/>
          <w:szCs w:val="21"/>
        </w:rPr>
        <w:t xml:space="preserve">Makro-szegmentáció támogatása: </w:t>
      </w:r>
      <w:r>
        <w:rPr>
          <w:rFonts w:ascii="Arial" w:cs="Arial" w:eastAsia="Arial" w:hAnsi="Arial"/>
          <w:sz w:val="21"/>
          <w:szCs w:val="21"/>
        </w:rPr>
        <w:t xml:space="preserve">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pPr>
        <w:pStyle w:val="ListParagraph"/>
        <w:numPr>
          <w:ilvl w:val="0"/>
          <w:numId w:val="2"/>
        </w:numPr>
        <w:spacing w:after="60" w:line="276"/>
      </w:pPr>
      <w:r>
        <w:rPr>
          <w:rFonts w:ascii="Arial" w:cs="Arial" w:eastAsia="Arial" w:hAnsi="Arial"/>
          <w:b/>
          <w:bCs/>
          <w:sz w:val="21"/>
          <w:szCs w:val="21"/>
        </w:rPr>
        <w:t xml:space="preserve">Access réteg egyszerűsége: </w:t>
      </w:r>
      <w:r>
        <w:rPr>
          <w:rFonts w:ascii="Arial" w:cs="Arial" w:eastAsia="Arial" w:hAnsi="Arial"/>
          <w:sz w:val="21"/>
          <w:szCs w:val="21"/>
        </w:rPr>
        <w:t xml:space="preserve">A Catalyst 9200L Extended Node-ként mindenféle önálló konfiguráció nélkül működik – a teljes policy-végrehajtást a disztribúciós Edge Node végzi. Ez csökkenti a konfigurációs komplexitást és a hibalehetőségeket az Access szinten.</w:t>
      </w:r>
    </w:p>
    <w:p>
      <w:pPr>
        <w:pStyle w:val="ListParagraph"/>
        <w:numPr>
          <w:ilvl w:val="0"/>
          <w:numId w:val="2"/>
        </w:numPr>
        <w:spacing w:after="60" w:line="276"/>
      </w:pPr>
      <w:r>
        <w:rPr>
          <w:rFonts w:ascii="Arial" w:cs="Arial" w:eastAsia="Arial" w:hAnsi="Arial"/>
          <w:b/>
          <w:bCs/>
          <w:sz w:val="21"/>
          <w:szCs w:val="21"/>
        </w:rPr>
        <w:t xml:space="preserve">Költséghatás: </w:t>
      </w:r>
      <w:r>
        <w:rPr>
          <w:rFonts w:ascii="Arial" w:cs="Arial" w:eastAsia="Arial" w:hAnsi="Arial"/>
          <w:sz w:val="21"/>
          <w:szCs w:val="21"/>
        </w:rPr>
        <w:t xml:space="preserve">A disztribúciós rétegben szükséges magasabb kategóriájú eszköz jelentősen drágább, mint a #2 váriánsban használt egyszerűbb L3 switch.</w:t>
      </w:r>
    </w:p>
    <w:p>
      <w:pPr>
        <w:pStyle w:val="Heading3"/>
        <w:spacing w:before="220" w:after="120"/>
      </w:pPr>
      <w:r>
        <w:rPr>
          <w:rFonts w:ascii="Arial" w:cs="Arial" w:eastAsia="Arial" w:hAnsi="Arial"/>
          <w:b/>
          <w:bCs/>
          <w:color w:val="404040"/>
          <w:sz w:val="22"/>
          <w:szCs w:val="22"/>
        </w:rPr>
        <w:t xml:space="preserve">3.8.2. SDA Váriáns #2 – Routing a Disztribúcióban, Edge az Accessben</w:t>
      </w:r>
    </w:p>
    <w:p>
      <w:pPr>
        <w:spacing w:after="120" w:line="276"/>
        <w:jc w:val="both"/>
      </w:pPr>
      <w:r>
        <w:rPr>
          <w:rFonts w:ascii="Arial" w:cs="Arial" w:eastAsia="Arial" w:hAnsi="Arial"/>
          <w:sz w:val="21"/>
          <w:szCs w:val="21"/>
        </w:rPr>
        <w:t xml:space="preserve">Ebben a váriánsban a disztribúciós rétegben egy bármilyen OSPF routing-ra képes, de Edge Node funkcióval nem rendelkező eszköz kerül telepítésre. Ennek következtében az Access réteg eszközeinek kell SDA Edge Node szerepet betölteniük.</w:t>
      </w:r>
    </w:p>
    <w:p>
      <w:pPr>
        <w:spacing w:after="120" w:line="276"/>
        <w:jc w:val="both"/>
      </w:pPr>
      <w:r>
        <w:rPr>
          <w:rFonts w:ascii="Arial" w:cs="Arial" w:eastAsia="Arial" w:hAnsi="Arial"/>
          <w:sz w:val="21"/>
          <w:szCs w:val="21"/>
        </w:rPr>
        <w:t xml:space="preserve">A Cisco Catalyst 9200L képes Edge Node-ként működni, azonban a platformnak van egy lényeges korlátozása: maximálisan 1 VRF engedélyezett rajta. Ez azt jelenti, hogy kizárólag 1 Virtual Network (VN) támogatható az Access szinten, tehát</w:t>
      </w:r>
    </w:p>
    <w:p>
      <w:pPr>
        <w:spacing w:after="120" w:line="276"/>
        <w:jc w:val="both"/>
      </w:pPr>
      <w:r>
        <w:rPr>
          <w:rFonts w:ascii="Arial" w:cs="Arial" w:eastAsia="Arial" w:hAnsi="Arial"/>
          <w:b/>
          <w:bCs/>
          <w:sz w:val="21"/>
          <w:szCs w:val="21"/>
        </w:rPr>
        <w:t xml:space="preserve">makro-szegmentáció nem valósítható meg</w:t>
      </w:r>
      <w:r>
        <w:rPr>
          <w:rFonts w:ascii="Arial" w:cs="Arial" w:eastAsia="Arial" w:hAnsi="Arial"/>
          <w:sz w:val="21"/>
          <w:szCs w:val="21"/>
        </w:rPr>
        <w:t xml:space="preserve"> ezen a szinten. A különböző típusú kliensek (klinikai, oktatási, adminisztrációs) tehát ugyanabban a VN-ben helyezkednek el.</w:t>
      </w:r>
    </w:p>
    <w:p>
      <w:pPr>
        <w:spacing w:after="120" w:line="276"/>
        <w:jc w:val="both"/>
      </w:pPr>
      <w:r>
        <w:rPr>
          <w:rFonts w:ascii="Arial" w:cs="Arial" w:eastAsia="Arial" w:hAnsi="Arial"/>
          <w:sz w:val="21"/>
          <w:szCs w:val="21"/>
        </w:rPr>
        <w:t xml:space="preserve">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pPr>
        <w:spacing w:after="120" w:line="276"/>
        <w:jc w:val="both"/>
      </w:pPr>
      <w:r>
        <w:rPr>
          <w:rFonts w:ascii="Arial" w:cs="Arial" w:eastAsia="Arial" w:hAnsi="Arial"/>
          <w:sz w:val="21"/>
          <w:szCs w:val="21"/>
        </w:rPr>
        <w:t xml:space="preserve">Ennek a váriánsnak az előnyei:</w:t>
      </w:r>
    </w:p>
    <w:p>
      <w:pPr>
        <w:pStyle w:val="ListParagraph"/>
        <w:numPr>
          <w:ilvl w:val="0"/>
          <w:numId w:val="2"/>
        </w:numPr>
        <w:spacing w:after="60" w:line="276"/>
      </w:pPr>
      <w:r>
        <w:rPr>
          <w:rFonts w:ascii="Arial" w:cs="Arial" w:eastAsia="Arial" w:hAnsi="Arial"/>
          <w:b/>
          <w:bCs/>
          <w:sz w:val="21"/>
          <w:szCs w:val="21"/>
        </w:rPr>
        <w:t xml:space="preserve">Alacsonyabb költség: </w:t>
      </w:r>
      <w:r>
        <w:rPr>
          <w:rFonts w:ascii="Arial" w:cs="Arial" w:eastAsia="Arial" w:hAnsi="Arial"/>
          <w:sz w:val="21"/>
          <w:szCs w:val="21"/>
        </w:rPr>
        <w:t xml:space="preserve">A disztribúciós rétegben lényegesen olcsóbb, standard L3 routing képességű eszköz is elegendő.</w:t>
      </w:r>
    </w:p>
    <w:p>
      <w:pPr>
        <w:pStyle w:val="ListParagraph"/>
        <w:numPr>
          <w:ilvl w:val="0"/>
          <w:numId w:val="2"/>
        </w:numPr>
        <w:spacing w:after="60" w:line="276"/>
      </w:pPr>
      <w:r>
        <w:rPr>
          <w:rFonts w:ascii="Arial" w:cs="Arial" w:eastAsia="Arial" w:hAnsi="Arial"/>
          <w:b/>
          <w:bCs/>
          <w:sz w:val="21"/>
          <w:szCs w:val="21"/>
        </w:rPr>
        <w:t xml:space="preserve">Hátrány: </w:t>
      </w:r>
      <w:r>
        <w:rPr>
          <w:rFonts w:ascii="Arial" w:cs="Arial" w:eastAsia="Arial" w:hAnsi="Arial"/>
          <w:sz w:val="21"/>
          <w:szCs w:val="21"/>
        </w:rPr>
        <w:t xml:space="preserve">Nincs natív makro-szegmentáció (több VN) az Access rétegben, de az SGT-alapú mikro-szegmentációval kompenzálható.</w:t>
      </w:r>
    </w:p>
    <w:p>
      <w:pPr>
        <w:pStyle w:val="Heading3"/>
        <w:spacing w:before="220" w:after="120"/>
      </w:pPr>
      <w:r>
        <w:rPr>
          <w:rFonts w:ascii="Arial" w:cs="Arial" w:eastAsia="Arial" w:hAnsi="Arial"/>
          <w:b/>
          <w:bCs/>
          <w:color w:val="404040"/>
          <w:sz w:val="22"/>
          <w:szCs w:val="22"/>
        </w:rPr>
        <w:t xml:space="preserve">3.8.3. Routed Access váriáns</w:t>
      </w:r>
    </w:p>
    <w:p>
      <w:pPr>
        <w:spacing w:after="120" w:line="276"/>
        <w:jc w:val="both"/>
      </w:pPr>
      <w:r>
        <w:rPr>
          <w:rFonts w:ascii="Arial" w:cs="Arial" w:eastAsia="Arial" w:hAnsi="Arial"/>
          <w:sz w:val="21"/>
          <w:szCs w:val="21"/>
        </w:rPr>
        <w:t xml:space="preserve">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pPr>
        <w:pStyle w:val="ListParagraph"/>
        <w:numPr>
          <w:ilvl w:val="0"/>
          <w:numId w:val="2"/>
        </w:numPr>
        <w:spacing w:after="60" w:line="276"/>
      </w:pPr>
      <w:r>
        <w:rPr>
          <w:rFonts w:ascii="Arial" w:cs="Arial" w:eastAsia="Arial" w:hAnsi="Arial"/>
          <w:b/>
          <w:bCs/>
          <w:sz w:val="21"/>
          <w:szCs w:val="21"/>
        </w:rPr>
        <w:t xml:space="preserve">Szegmentáció: </w:t>
      </w:r>
      <w:r>
        <w:rPr>
          <w:rFonts w:ascii="Arial" w:cs="Arial" w:eastAsia="Arial" w:hAnsi="Arial"/>
          <w:sz w:val="21"/>
          <w:szCs w:val="21"/>
        </w:rPr>
        <w:t xml:space="preserve">VLAN + ACL/tűzfal alapú. SGT integrálható manuális konfigurációval, de a fabric-szintű automatizálás hiányzik.</w:t>
      </w:r>
    </w:p>
    <w:p>
      <w:pPr>
        <w:pStyle w:val="ListParagraph"/>
        <w:numPr>
          <w:ilvl w:val="0"/>
          <w:numId w:val="2"/>
        </w:numPr>
        <w:spacing w:after="60" w:line="276"/>
      </w:pPr>
      <w:r>
        <w:rPr>
          <w:rFonts w:ascii="Arial" w:cs="Arial" w:eastAsia="Arial" w:hAnsi="Arial"/>
          <w:b/>
          <w:bCs/>
          <w:sz w:val="21"/>
          <w:szCs w:val="21"/>
        </w:rPr>
        <w:t xml:space="preserve">Költség: </w:t>
      </w:r>
      <w:r>
        <w:rPr>
          <w:rFonts w:ascii="Arial" w:cs="Arial" w:eastAsia="Arial" w:hAnsi="Arial"/>
          <w:sz w:val="21"/>
          <w:szCs w:val="21"/>
        </w:rPr>
        <w:t xml:space="preserve">A legalacsonyabb, standard Cisco Catalyst eszközökkel megvalósítható.</w:t>
      </w:r>
    </w:p>
    <w:p>
      <w:pPr>
        <w:pStyle w:val="ListParagraph"/>
        <w:numPr>
          <w:ilvl w:val="0"/>
          <w:numId w:val="2"/>
        </w:numPr>
        <w:spacing w:after="60" w:line="276"/>
      </w:pPr>
      <w:r>
        <w:rPr>
          <w:rFonts w:ascii="Arial" w:cs="Arial" w:eastAsia="Arial" w:hAnsi="Arial"/>
          <w:b/>
          <w:bCs/>
          <w:sz w:val="21"/>
          <w:szCs w:val="21"/>
        </w:rPr>
        <w:t xml:space="preserve">Komplexitás: </w:t>
      </w:r>
      <w:r>
        <w:rPr>
          <w:rFonts w:ascii="Arial" w:cs="Arial" w:eastAsia="Arial" w:hAnsi="Arial"/>
          <w:sz w:val="21"/>
          <w:szCs w:val="21"/>
        </w:rPr>
        <w:t xml:space="preserve">Alacsony: standard routing protokollok, nincs overlay-overhead.</w:t>
      </w:r>
    </w:p>
    <w:p>
      <w:pPr>
        <w:pStyle w:val="ListParagraph"/>
        <w:numPr>
          <w:ilvl w:val="0"/>
          <w:numId w:val="2"/>
        </w:numPr>
        <w:spacing w:after="60" w:line="276"/>
      </w:pPr>
      <w:r>
        <w:rPr>
          <w:rFonts w:ascii="Arial" w:cs="Arial" w:eastAsia="Arial" w:hAnsi="Arial"/>
          <w:b/>
          <w:bCs/>
          <w:sz w:val="21"/>
          <w:szCs w:val="21"/>
        </w:rPr>
        <w:t xml:space="preserve">Skálázhatóság: </w:t>
      </w:r>
      <w:r>
        <w:rPr>
          <w:rFonts w:ascii="Arial" w:cs="Arial" w:eastAsia="Arial" w:hAnsi="Arial"/>
          <w:sz w:val="21"/>
          <w:szCs w:val="21"/>
        </w:rPr>
        <w:t xml:space="preserve">Megfelelő, de nagyobb méretnél a Layer 3 routing tartományi korlátai érezhetőek.</w:t>
      </w:r>
    </w:p>
    <w:p>
      <w:pPr>
        <w:pStyle w:val="Heading3"/>
        <w:spacing w:before="220" w:after="120"/>
      </w:pPr>
      <w:r>
        <w:rPr>
          <w:rFonts w:ascii="Arial" w:cs="Arial" w:eastAsia="Arial" w:hAnsi="Arial"/>
          <w:b/>
          <w:bCs/>
          <w:color w:val="404040"/>
          <w:sz w:val="22"/>
          <w:szCs w:val="22"/>
        </w:rPr>
        <w:t xml:space="preserve">3.8.4. Összehasonlító táblázat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75"/>
        <w:gridCol w:w="2476"/>
        <w:gridCol w:w="2475"/>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Szempont</w:t>
            </w:r>
          </w:p>
        </w:tc>
        <w:tc>
          <w:tcPr>
            <w:tcW w:type="dxa" w:w="2475"/>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SDA #1 (Edge a Disztr.-ban)</w:t>
            </w:r>
          </w:p>
        </w:tc>
        <w:tc>
          <w:tcPr>
            <w:tcW w:type="dxa" w:w="247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SDA #2 (Edge az Accessben)</w:t>
            </w:r>
          </w:p>
        </w:tc>
        <w:tc>
          <w:tcPr>
            <w:tcW w:type="dxa" w:w="2475"/>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Routed Access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Disztr. eszköz</w:t>
            </w:r>
          </w:p>
        </w:tc>
        <w:tc>
          <w:tcPr>
            <w:tcW w:type="dxa" w:w="247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Drágább, teljes Edge Node funkcionalitású</w:t>
            </w:r>
          </w:p>
        </w:tc>
        <w:tc>
          <w:tcPr>
            <w:tcW w:type="dxa" w:w="24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Olcsóbb, OSPF-képes L3 switch</w:t>
            </w:r>
          </w:p>
        </w:tc>
        <w:tc>
          <w:tcPr>
            <w:tcW w:type="dxa" w:w="247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Standard L3 switch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Access eszköz</w:t>
            </w:r>
          </w:p>
        </w:tc>
        <w:tc>
          <w:tcPr>
            <w:tcW w:type="dxa" w:w="24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9200L mint Extended Node (egyszerűbb szerep)</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9200L mint Edge Node (1 VRF korlát)</w:t>
            </w:r>
          </w:p>
        </w:tc>
        <w:tc>
          <w:tcPr>
            <w:tcW w:type="dxa" w:w="24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9200L/9200 standard L2/L3 switch</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Makro-szegm.</w:t>
            </w:r>
          </w:p>
        </w:tc>
        <w:tc>
          <w:tcPr>
            <w:tcW w:type="dxa" w:w="247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Támogatott (több VN lehetséges)</w:t>
            </w:r>
          </w:p>
        </w:tc>
        <w:tc>
          <w:tcPr>
            <w:tcW w:type="dxa" w:w="24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Nem támogatott (1 VN / 1 VRF korlát a 9200L-en)</w:t>
            </w:r>
          </w:p>
        </w:tc>
        <w:tc>
          <w:tcPr>
            <w:tcW w:type="dxa" w:w="247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Nem releváns (nincs fabric VN)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Mikro-szegm.</w:t>
            </w:r>
          </w:p>
        </w:tc>
        <w:tc>
          <w:tcPr>
            <w:tcW w:type="dxa" w:w="24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SGT natívan támogatott</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SGT natívan támogatott</w:t>
            </w:r>
          </w:p>
        </w:tc>
        <w:tc>
          <w:tcPr>
            <w:tcW w:type="dxa" w:w="24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SGT manuális konfigurációval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Költség</w:t>
            </w:r>
          </w:p>
        </w:tc>
        <w:tc>
          <w:tcPr>
            <w:tcW w:type="dxa" w:w="247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Legmagasabb (drága disztr. + Catalyst Center licenc)</w:t>
            </w:r>
          </w:p>
        </w:tc>
        <w:tc>
          <w:tcPr>
            <w:tcW w:type="dxa" w:w="247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Közepes (olcsóbb disztr. + Catalyst Center licenc)</w:t>
            </w:r>
          </w:p>
        </w:tc>
        <w:tc>
          <w:tcPr>
            <w:tcW w:type="dxa" w:w="2475"/>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Legalacsonyabb (nincs Catalyst Center követelmény)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Automatizáció</w:t>
            </w:r>
          </w:p>
        </w:tc>
        <w:tc>
          <w:tcPr>
            <w:tcW w:type="dxa" w:w="24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Teljes (Catalyst Center vezérli a fabric-et)</w:t>
            </w:r>
          </w:p>
        </w:tc>
        <w:tc>
          <w:tcPr>
            <w:tcW w:type="dxa" w:w="24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Teljes (Catalyst Center vezérli a fabric-et)</w:t>
            </w:r>
          </w:p>
        </w:tc>
        <w:tc>
          <w:tcPr>
            <w:tcW w:type="dxa" w:w="24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Manuális / részleges (CLI, template)</w:t>
            </w:r>
          </w:p>
        </w:tc>
      </w:tr>
    </w:tbl>
    <w:p>
      <w:pPr>
        <w:spacing w:after="60"/>
      </w:pPr>
    </w:p>
    <w:p>
      <w:pPr>
        <w:spacing w:after="120" w:line="276"/>
        <w:jc w:val="both"/>
      </w:pPr>
      <w:r>
        <w:rPr>
          <w:rFonts w:ascii="Arial" w:cs="Arial" w:eastAsia="Arial" w:hAnsi="Arial"/>
          <w:sz w:val="21"/>
          <w:szCs w:val="21"/>
        </w:rPr>
        <w:t xml:space="preserve">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pPr>
        <w:pStyle w:val="Heading2"/>
        <w:spacing w:before="300" w:after="160"/>
      </w:pPr>
      <w:r>
        <w:rPr>
          <w:rFonts w:ascii="Arial" w:cs="Arial" w:eastAsia="Arial" w:hAnsi="Arial"/>
          <w:b/>
          <w:bCs/>
          <w:color w:val="2E75B6"/>
          <w:sz w:val="26"/>
          <w:szCs w:val="26"/>
        </w:rPr>
        <w:t xml:space="preserve">3.9. Kliensek és migrációs érzékenység</w:t>
      </w:r>
    </w:p>
    <w:p>
      <w:pPr>
        <w:spacing w:after="120" w:line="276"/>
        <w:jc w:val="both"/>
      </w:pPr>
      <w:r>
        <w:rPr>
          <w:rFonts w:ascii="Arial" w:cs="Arial" w:eastAsia="Arial" w:hAnsi="Arial"/>
          <w:sz w:val="21"/>
          <w:szCs w:val="21"/>
        </w:rPr>
        <w:t xml:space="preserve">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pPr>
        <w:pStyle w:val="ListParagraph"/>
        <w:numPr>
          <w:ilvl w:val="0"/>
          <w:numId w:val="2"/>
        </w:numPr>
        <w:spacing w:after="60" w:line="276"/>
      </w:pPr>
      <w:r>
        <w:rPr>
          <w:rFonts w:ascii="Arial" w:cs="Arial" w:eastAsia="Arial" w:hAnsi="Arial"/>
          <w:b/>
          <w:bCs/>
          <w:sz w:val="21"/>
          <w:szCs w:val="21"/>
        </w:rPr>
        <w:t xml:space="preserve">Campusra kiterjedő (stretched) VLAN-ok: </w:t>
      </w:r>
      <w:r>
        <w:rPr>
          <w:rFonts w:ascii="Arial" w:cs="Arial" w:eastAsia="Arial" w:hAnsi="Arial"/>
          <w:sz w:val="21"/>
          <w:szCs w:val="21"/>
        </w:rPr>
        <w:t xml:space="preserve">Ezek nagyméretű broadcast-doméneket eredményeznek, amelyek spanning tree instabilitást és teljesítményromlást okozhatnak.</w:t>
      </w:r>
    </w:p>
    <w:p>
      <w:pPr>
        <w:pStyle w:val="ListParagraph"/>
        <w:numPr>
          <w:ilvl w:val="0"/>
          <w:numId w:val="2"/>
        </w:numPr>
        <w:spacing w:after="60" w:line="276"/>
      </w:pPr>
      <w:r>
        <w:rPr>
          <w:rFonts w:ascii="Arial" w:cs="Arial" w:eastAsia="Arial" w:hAnsi="Arial"/>
          <w:b/>
          <w:bCs/>
          <w:sz w:val="21"/>
          <w:szCs w:val="21"/>
        </w:rPr>
        <w:t xml:space="preserve">Párhuzamos, inkonzisztens VLAN-ok: </w:t>
      </w:r>
      <w:r>
        <w:rPr>
          <w:rFonts w:ascii="Arial" w:cs="Arial" w:eastAsia="Arial" w:hAnsi="Arial"/>
          <w:sz w:val="21"/>
          <w:szCs w:val="21"/>
        </w:rPr>
        <w:t xml:space="preserve">Különböző telephelyeken hasonló funkciójú, de eltérő számú és konfigurációjú VLAN-ok léteznek.</w:t>
      </w:r>
    </w:p>
    <w:p>
      <w:pPr>
        <w:pStyle w:val="ListParagraph"/>
        <w:numPr>
          <w:ilvl w:val="0"/>
          <w:numId w:val="2"/>
        </w:numPr>
        <w:spacing w:after="60" w:line="276"/>
      </w:pPr>
      <w:r>
        <w:rPr>
          <w:rFonts w:ascii="Arial" w:cs="Arial" w:eastAsia="Arial" w:hAnsi="Arial"/>
          <w:b/>
          <w:bCs/>
          <w:sz w:val="21"/>
          <w:szCs w:val="21"/>
        </w:rPr>
        <w:t xml:space="preserve">Tervezési módszertan hiánya: </w:t>
      </w:r>
      <w:r>
        <w:rPr>
          <w:rFonts w:ascii="Arial" w:cs="Arial" w:eastAsia="Arial" w:hAnsi="Arial"/>
          <w:sz w:val="21"/>
          <w:szCs w:val="21"/>
        </w:rPr>
        <w:t xml:space="preserve">A struktúra organikusan, eseti igényekre reagálva jött létre, ami dokumentálatlan függőségeket és kockázatokat rejt.</w:t>
      </w:r>
    </w:p>
    <w:p>
      <w:pPr>
        <w:spacing w:after="120" w:line="276"/>
        <w:jc w:val="both"/>
      </w:pPr>
      <w:r>
        <w:rPr>
          <w:rFonts w:ascii="Arial" w:cs="Arial" w:eastAsia="Arial" w:hAnsi="Arial"/>
          <w:sz w:val="21"/>
          <w:szCs w:val="21"/>
        </w:rPr>
        <w:t xml:space="preserve">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pPr>
        <w:pStyle w:val="Heading2"/>
        <w:spacing w:before="300" w:after="160"/>
      </w:pPr>
      <w:r>
        <w:rPr>
          <w:rFonts w:ascii="Arial" w:cs="Arial" w:eastAsia="Arial" w:hAnsi="Arial"/>
          <w:b/>
          <w:bCs/>
          <w:color w:val="2E75B6"/>
          <w:sz w:val="26"/>
          <w:szCs w:val="26"/>
        </w:rPr>
        <w:t xml:space="preserve">3.10. Összefoglaló táblázat – Jelenlegi és tervezett állapot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10"/>
        <w:gridCol w:w="2408"/>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w:t>
            </w:r>
          </w:p>
        </w:tc>
        <w:tc>
          <w:tcPr>
            <w:tcW w:type="dxa" w:w="24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Jelenlegi állapot</w:t>
            </w:r>
          </w:p>
        </w:tc>
        <w:tc>
          <w:tcPr>
            <w:tcW w:type="dxa" w:w="24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Tervezett megoldás</w:t>
            </w:r>
          </w:p>
        </w:tc>
        <w:tc>
          <w:tcPr>
            <w:tcW w:type="dxa" w:w="2408"/>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Beszerzési státusz</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Core réteg</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Legacy Catalyst 6500/4500 + Nexus VXLAN fabric</w:t>
            </w:r>
          </w:p>
        </w:tc>
        <w:tc>
          <w:tcPr>
            <w:tcW w:type="dxa" w:w="24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Szerver Core (Nexus) + Enterprise Core (új)</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Részben meglévő + beszerezendő</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Disztribúció</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Nem definiált (épületi switchek közvetlenül core-ra)</w:t>
            </w:r>
          </w:p>
        </w:tc>
        <w:tc>
          <w:tcPr>
            <w:tcW w:type="dxa" w:w="2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Redundáns optikai L3 Stack-párok</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Beszerezendő</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Access réteg</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Heterogén, részben elavult eszközök</w:t>
            </w:r>
          </w:p>
        </w:tc>
        <w:tc>
          <w:tcPr>
            <w:tcW w:type="dxa" w:w="24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Cisco 9200L/9200 Stack + redundáns uplink</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Részben meglévő + beszerezendő</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Zónaelválasztás</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Fortigate HA pár (részleges szegmentáció)</w:t>
            </w:r>
          </w:p>
        </w:tc>
        <w:tc>
          <w:tcPr>
            <w:tcW w:type="dxa" w:w="2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Fortigate HA (teljes zóna-szabályozás)</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Meglévő (szabálybővítés)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VPN</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Palo Alto HA pár</w:t>
            </w:r>
          </w:p>
        </w:tc>
        <w:tc>
          <w:tcPr>
            <w:tcW w:type="dxa" w:w="24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Palo Alto HA (változatlan)</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Meglévő</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OOB</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Nem létezik</w:t>
            </w:r>
          </w:p>
        </w:tc>
        <w:tc>
          <w:tcPr>
            <w:tcW w:type="dxa" w:w="2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Cisco C1100TG + OOB tűzfal + mobilnet</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Beszerezendő</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Internet Edge</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BKATA BGP (HBONE) + NKATA BGP (KIFU) – nem működő failover</w:t>
            </w:r>
          </w:p>
        </w:tc>
        <w:tc>
          <w:tcPr>
            <w:tcW w:type="dxa" w:w="24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Dedikált Edge switch-pár + valós BGP redundancia</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Beszerezendő</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sz w:val="18"/>
                <w:szCs w:val="18"/>
              </w:rPr>
              <w:t xml:space="preserve">InterConnect</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Nexus cross-connect (szervertermekben)</w:t>
            </w:r>
          </w:p>
        </w:tc>
        <w:tc>
          <w:tcPr>
            <w:tcW w:type="dxa" w:w="2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Független InterConnect (B52/KBE)</w:t>
            </w:r>
          </w:p>
        </w:tc>
        <w:tc>
          <w:tcPr>
            <w:tcW w:type="dxa" w:w="24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Beszerezendő</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sz w:val="18"/>
                <w:szCs w:val="18"/>
              </w:rPr>
              <w:t xml:space="preserve">Kliens-kezelés</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Statikus VLAN, rendszertelen struktúra</w:t>
            </w:r>
          </w:p>
        </w:tc>
        <w:tc>
          <w:tcPr>
            <w:tcW w:type="dxa" w:w="24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ISE policy + jogosultsági mátrix</w:t>
            </w:r>
          </w:p>
        </w:tc>
        <w:tc>
          <w:tcPr>
            <w:tcW w:type="dxa" w:w="2408"/>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val="false"/>
                <w:bCs w:val="false"/>
                <w:sz w:val="18"/>
                <w:szCs w:val="18"/>
              </w:rPr>
              <w:t xml:space="preserve">ISE bővítése + policy-élesítés</w:t>
            </w:r>
          </w:p>
        </w:tc>
      </w:tr>
    </w:tbl>
    <w:p>
      <w:pPr>
        <w:spacing w:after="60"/>
      </w:pPr>
    </w:p>
    <w:p>
      <w:pPr>
        <w:spacing w:after="120" w:line="276"/>
        <w:jc w:val="both"/>
      </w:pPr>
      <w:r>
        <w:rPr>
          <w:rFonts w:ascii="Arial" w:cs="Arial" w:eastAsia="Arial" w:hAnsi="Arial"/>
          <w:sz w:val="21"/>
          <w:szCs w:val="21"/>
        </w:rPr>
        <w:t xml:space="preserve">A következő fejezetek (4–9.) részletezik a tervezett hálózat fizikai és logikai topológiáját, az SDA/Routed Access konfigurációkat, a VPN- és Internet Edge redundancia megoldásait, az InterConnect redundanciát, valamint a migrációs stratégiát.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i/>
        <w:iCs/>
        <w:color w:val="999999"/>
        <w:sz w:val="16"/>
        <w:szCs w:val="16"/>
      </w:rPr>
      <w:t xml:space="preserve">Bizalmas  –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oldal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left"/>
    </w:pPr>
    <w:r>
      <w:rPr>
        <w:rFonts w:ascii="Arial" w:cs="Arial" w:eastAsia="Arial" w:hAnsi="Arial"/>
        <w:b/>
        <w:bCs/>
        <w:color w:val="1F4E79"/>
        <w:sz w:val="18"/>
        <w:szCs w:val="18"/>
      </w:rPr>
      <w:t xml:space="preserve">Semmelweis Egyetem</w:t>
    </w:r>
    <w:r>
      <w:rPr>
        <w:rFonts w:ascii="Arial" w:cs="Arial" w:eastAsia="Arial" w:hAnsi="Arial"/>
        <w:i/>
        <w:iCs/>
        <w:color w:val="666666"/>
        <w:sz w:val="18"/>
        <w:szCs w:val="18"/>
      </w:rPr>
      <w:t xml:space="preserve">  |  Hálózatfejlesztési HLD  |  3. fejezet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2026-03-16T21:19:33.309Z</dcterms:created>
  <dcterms:modified xsi:type="dcterms:W3CDTF">2026-03-16T21:19:33.310Z</dcterms:modified>
</cp:coreProperties>
</file>

<file path=docProps/custom.xml><?xml version="1.0" encoding="utf-8"?>
<Properties xmlns="http://schemas.openxmlformats.org/officeDocument/2006/custom-properties" xmlns:vt="http://schemas.openxmlformats.org/officeDocument/2006/docPropsVTypes"/>
</file>