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ALIANÇA LOG</w:t>
      </w:r>
    </w:p>
    <w:p>
      <w:pPr>
        <w:spacing w:after="60"/>
      </w:pPr>
      <w:r>
        <w:rPr>
          <w:color w:val="555555"/>
          <w:sz w:val="26"/>
          <w:szCs w:val="26"/>
        </w:rPr>
        <w:t xml:space="preserve">Comparativo de Escopo — Escopo Técnico (R01) vs. Proposta Comercial</w:t>
      </w:r>
    </w:p>
    <w:p>
      <w:pPr>
        <w:spacing w:after="300"/>
      </w:pPr>
      <w:r>
        <w:rPr>
          <w:i/>
          <w:iCs/>
          <w:color w:val="777777"/>
          <w:sz w:val="18"/>
          <w:szCs w:val="18"/>
        </w:rPr>
        <w:t xml:space="preserve">Documentos comparados: ALIANCA-LOG-ESCOPO-TECNICO-R01.pdf  ·  proposta_alianca_log.docx</w:t>
      </w:r>
    </w:p>
    <w:p>
      <w:pPr>
        <w:pStyle w:val="Heading1"/>
      </w:pPr>
      <w:r>
        <w:t xml:space="preserve">1. O que cada documento é</w:t>
      </w:r>
    </w:p>
    <w:p>
      <w:pPr>
        <w:spacing w:after="160"/>
      </w:pPr>
      <w:r>
        <w:t xml:space="preserve">Os dois documentos têm propósitos diferentes e isso já explica boa parte das diferenças de nível de detalhe encontradas: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Escopo Técnico (R01) — documento de referência interna para desenvolvimento. Define exatamente o que será construído, com qual stack, arquitetura, banco de dados, sprints, equipe, critérios de aceite e cláusulas contratuais. É o documento que orienta a execução do projeto.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Proposta Comercial — documento voltado ao cliente (Matheus), resumindo funcionalidades e investimento em duas opções (A e B) para fins de decisão e fechamento de negócio.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Por serem documentos de público e finalidade diferentes, é esperado que o Escopo Técnico seja mais detalhado. O problema está nos pontos em que as informações divergem em vez de apenas resumir — esses pontos são o foco das próximas seções.</w:t>
      </w:r>
    </w:p>
    <w:p>
      <w:pPr>
        <w:pStyle w:val="Heading1"/>
      </w:pPr>
      <w:r>
        <w:t xml:space="preserve">2. Comparativo — MVP A (Enxuto)</w:t>
      </w:r>
    </w:p>
    <w:p>
      <w:pPr>
        <w:pStyle w:val="Heading2"/>
      </w:pPr>
      <w:r>
        <w:t xml:space="preserve">Perfil Gerência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33"/>
        <w:gridCol w:w="3933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Escopo Técnico (R01)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65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Proposta Comercial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e-mail+senha, redirecionamento por role, sessão persistente, recuperação de senha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dedicado (não detalha mecanismo)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Contadores (Total/Aceitas/Recusadas/Retidas/Pendência/Em aberto) + lista filtrável por motorista/empresa/status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“Lista de canhotos em tempo real” — não menciona contadores nem filtros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Visualização do canhoto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Modal com foto em alta resolução + detalhes (NF, status, motorista, horário, observação)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“Visualização de fotos dos canhotos” — equivalente, menos detalhado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Importação de Excel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Upload .xlsx/.csv, preview, mapeamento configurável de colunas, atribuição de motorista — definido como decisão determinante de escopo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aparece como item incluso no MVP 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Gestão de cadastros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Cadastro de motoristas e empresas, criação de logins, inativar/reativar usuários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aparece como item incluso no MVP A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Perfil Motorista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33"/>
        <w:gridCol w:w="3933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Escopo Técnico (R01)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65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Proposta Comercial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Lista de entregas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Cards com cor por status, ordenação por atribuição, contador de progresso (“8 de 16”)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“Lista de entregas do dia” — equivalente, sem o detalhe visual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Registro de canhoto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Foto + preview + 4 status (Aceita/Recusada/Retida/Item Faltando) + campo obrigatório se item faltando + feedback visual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Equivalente: captura de foto + atualização de status + registro de ocorrência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Funcionamento OFFLINE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PWA com Service Worker + IndexedDB. Motorista registra canhoto sem sinal; sync automático quando o sinal retorna. Definido como decisão determinante (sinal fraco em Gramado/Canela/Petrópolis)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aparece como item incluso no MVP 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Busca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Barra de pesquisa por NF ou destinatário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mencionada explicitamente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Perfil Cliente Final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33"/>
        <w:gridCol w:w="3933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Escopo Técnico (R01)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65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Proposta Comercial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Lista de notas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Filtro por data/status, ordenação por data/NF/status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“Filtro básico” por status — escopo mais restrito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Detalhe da entrega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real-time, foto, horário, motorista, observação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Equivalente: acompanhamento em tempo real + acesso à foto</w:t>
            </w:r>
          </w:p>
        </w:tc>
      </w:tr>
    </w:tbl>
    <w:p>
      <w:pPr>
        <w:pStyle w:val="Heading1"/>
      </w:pPr>
      <w:r>
        <w:t xml:space="preserve">3. Comparativo — MVP B (Completo)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33"/>
        <w:gridCol w:w="3933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Escopo Técnico (R01)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65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Proposta Comercial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Roteirização GPS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Google Maps Directions API, botão “Abrir no Maps”, reroteirização manual, estimativa de tempo, janela de horário opcional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“Roteirização via GPS — sugestão de rota ideal” (resumido, sem os submódulos)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Painel por empresa (motorista)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Aba dedicada “Por Empresa”, busca global, filtros, badge de pendências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“Painel de notas fiscais — visualização por empresa, com busca” (equivalente, resumido)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KPIs de motoristas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com ranking, taxa de sucesso/problemas, tempo médio, perfil individual com gráfico e exportação em PDF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“Acompanhamento de motoristas — desempenho individual e histórico” (não menciona ranking nem exportação)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Financeiro/Rentabilidade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Cadastro de custo/km, custo/hora, tarifa por cliente; cálculo por entrega/rota/empresa; indicador visual lucro/prejuízo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“Controle financeiro — análise de rentabilidade por entrega” (não detalha cadastro de custos nem indicador visual)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Dashboards e gráficos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Gráficos de barras/pizza/linha + mapa de calor por cidade + dashboard por empresa cliente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“Gráficos por cliente — indicadores e dashboards gerais” (não menciona mapa de calor nem os tipos de gráfico)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Filtros avançados (cliente)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Cidade/bairro, período customizado, status múltiplo, motorista, ordenação, exportação CSV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“Filtros avançados — por status, cidade e período” (não menciona exportação)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Relatórios exportáveis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Seção 3.7: relatórios de entregas, ocorrências, por motorista e por empresa (Excel) — listado como incluso no MVP B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aparece como item incluso no MVP 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 de infra adicional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R$ 130–280/mês (Google Maps APIs + Supabase Pro), somado à mensalidade base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mencionado — mensalidade de R$ 500 não esclarece se já inclui esse custo extra</w:t>
            </w:r>
          </w:p>
        </w:tc>
      </w:tr>
    </w:tbl>
    <w:p>
      <w:pPr>
        <w:pStyle w:val="Heading1"/>
      </w:pPr>
      <w:r>
        <w:t xml:space="preserve">4. Fora de Escopo (v2/v3)</w:t>
      </w:r>
    </w:p>
    <w:p>
      <w:pPr>
        <w:spacing w:after="160"/>
      </w:pPr>
      <w:r>
        <w:t xml:space="preserve">O Escopo Técnico tem uma lista mais longa de itens fora de escopo do que a Proposta Comercial. Os itens abaixo aparecem em um documento mas não no outro: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33"/>
        <w:gridCol w:w="3933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 fora de escopo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Aparece no Escopo Técnico?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65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Aparece na Proposta?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Emissão de NF/CT-e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 — v3, “requer homologação prefeitura”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 — em ambas as propostas (A e B)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Integração com ERP (Interativo)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 — v3, “explicitamente descartado no MVP”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Sim, mas só mencionado na Proposta B, como “integrações com ERP/financeiros externos”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Notificações WhatsApp/push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 — v2, “sem demanda declarada”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mencionado em nenhuma das duas propostas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 nativo iOS/Android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 — v2, “PWA resolve a necessidade”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mencionado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Múltiplos coordenadores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 — v2, “MVP tem gerência única”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mencionado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Histórico de mais de 12 meses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 — v2, “definir política de retenção”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mencionado</w:t>
            </w:r>
          </w:p>
        </w:tc>
      </w:tr>
    </w:tbl>
    <w:p>
      <w:pPr>
        <w:pStyle w:val="Heading1"/>
      </w:pPr>
      <w:r>
        <w:t xml:space="preserve">5. Investimento e Forma de Pagamento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33"/>
        <w:gridCol w:w="3933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Escopo Técnico (R01)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65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Proposta Comercial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Setup MVP A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R$ 10.000 (sinal 50% + entrega 50%)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R$ 10.000 (sugestão: 50%+50% ou 30%+30%+40%)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Mensalidade MVP A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R$ 350/mês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R$ 300/mês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Recorrência pura — MVP A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Opção 2: sinal R$ 3.000 + entrega R$ 3.000 + R$ 650/mês × 36 meses = R$ 29.400 total. Código passa ao cliente após 36 meses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“Apenas recorrência”: R$ 600/mês + sinal R$ 1.800 — sem prazo de fidelidade, sem parcela de entrega, sem cláusula de transferência de código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Setup MVP B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R$ 25.000–45.000 (faixa, conforme nível de robustez)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R$ 25.000 (fixo) — “aplicativo próprio”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Mensalidade MVP B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Faixa R$ 300–800/mês + R$ 130–280/mês de infra adicional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R$ 500/mês (fixo) — não esclarece se cobre a infra adicional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Recorrência pura — MVP B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definida no Escopo Técnico (só desenhada para o MVP A)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“Apenas Recorrência”: R$ 1.500/mês + sinal R$ 4.500 — sem equivalente para comparar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Propriedade intelectual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Definida: Opção 1 = UzzAI mantém propriedade (licença de uso ao cliente); Opção 2 = código passa ao cliente após 36 meses</w:t>
            </w:r>
          </w:p>
        </w:tc>
        <w:tc>
          <w:tcPr>
            <w:tcW w:type="dxa" w:w="3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mencionada em nenhum lugar da proposta</w:t>
            </w:r>
          </w:p>
        </w:tc>
      </w:tr>
    </w:tbl>
    <w:p>
      <w:pPr>
        <w:pStyle w:val="Heading1"/>
      </w:pPr>
      <w:r>
        <w:t xml:space="preserve">6. Itens que só existem no Escopo Técnico</w:t>
      </w:r>
    </w:p>
    <w:p>
      <w:pPr>
        <w:spacing w:after="160"/>
      </w:pPr>
      <w:r>
        <w:t xml:space="preserve">Os pontos abaixo não estão na Proposta Comercial — o que é esperado, já que são detalhes de execução e não de venda. Mas vale avaliar se algum deles deveria aparecer resumidamente na proposta, pois representam valor agregado real para o cliente: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Stack técnico definitivo (Next.js, Supabase, Vercel) e arquitetura do sistema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Banco de dados (schema) e políticas de segurança (Row Level Security)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Plano de sprints, timeline e marcos (M0 a M7) com datas específicas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Equipe alocada e papéis (Vítor, Luis, Pedro) e regras de colaboração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Serviços jurídicos inclusos: Contrato de Desenvolvimento, NDA, Política de Privacidade/LGPD, cláusulas de SLA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Suporte pós-lançamento: 30 dias de suporte prioritário + 60 dias de correção de bugs sem custo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Critérios de Aceite (DoD) detalhados por funcionalidade, performance e segurança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Responsabilidades do cliente (Rotta) com prazos — ex.: enviar listas de motoristas/empresas no Dia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Checklist pré-início e glossário técnico</w:t>
      </w:r>
    </w:p>
    <w:p>
      <w:pPr>
        <w:pStyle w:val="Heading1"/>
      </w:pPr>
      <w:r>
        <w:t xml:space="preserve">7. Pontos a resolver antes de enviar a proposta ao cliente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CCCCC" w:sz="1"/>
              <w:left w:val="single" w:color="C0392B" w:sz="24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</w:rPr>
              <w:t xml:space="preserve">Mensalidade do MVP A divergente</w:t>
            </w:r>
          </w:p>
          <w:p>
            <w:r>
              <w:rPr>
                <w:sz w:val="20"/>
                <w:szCs w:val="20"/>
              </w:rPr>
              <w:t xml:space="preserve">Escopo Técnico fixa R$ 350/mês; Proposta Comercial fixa R$ 300/mês. É preciso decidir qual valor é o correto antes de assinar, para não criar uma expectativa abaixo do que o projeto efetivamente sustenta.</w:t>
            </w:r>
          </w:p>
        </w:tc>
      </w:tr>
    </w:tbl>
    <w:p>
      <w:pPr>
        <w:spacing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CCCCC" w:sz="1"/>
              <w:left w:val="single" w:color="C0392B" w:sz="24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</w:rPr>
              <w:t xml:space="preserve">Modelo de recorrência pura inconsistente</w:t>
            </w:r>
          </w:p>
          <w:p>
            <w:r>
              <w:rPr>
                <w:sz w:val="20"/>
                <w:szCs w:val="20"/>
              </w:rPr>
              <w:t xml:space="preserve">No Escopo Técnico, a opção de recorrência pura prevê 36 meses de fidelidade, sinal de R$ 3.000, parcela de entrega de R$ 3.000 e transferência do código ao final. Na Proposta, aparece apenas “R$ 600/mês + sinal R$ 1.800”, sem prazo de fidelidade nem cláusula de propriedade do código. Se o cliente optar por esse modelo, faltam termos contratuais essenciais.</w:t>
            </w:r>
          </w:p>
        </w:tc>
      </w:tr>
    </w:tbl>
    <w:p>
      <w:pPr>
        <w:spacing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CCCCC" w:sz="1"/>
              <w:left w:val="single" w:color="C0392B" w:sz="24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</w:rPr>
              <w:t xml:space="preserve">Custo de infraestrutura do MVP B não repassado com clareza</w:t>
            </w:r>
          </w:p>
          <w:p>
            <w:r>
              <w:rPr>
                <w:sz w:val="20"/>
                <w:szCs w:val="20"/>
              </w:rPr>
              <w:t xml:space="preserve">O Escopo Técnico prevê R$ 130–280/mês adicionais (Google Maps API + Supabase Pro) por cima da mensalidade base. A Proposta fixa R$ 500/mês sem indicar se esse valor já absorve o custo de infra — risco de a operação ficar no vermelho conforme o volume de rotas cresce.</w:t>
            </w:r>
          </w:p>
        </w:tc>
      </w:tr>
    </w:tbl>
    <w:p>
      <w:pPr>
        <w:spacing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CCCCC" w:sz="1"/>
              <w:left w:val="single" w:color="C0392B" w:sz="24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</w:rPr>
              <w:t xml:space="preserve">Propriedade intelectual ausente na Proposta</w:t>
            </w:r>
          </w:p>
          <w:p>
            <w:r>
              <w:rPr>
                <w:sz w:val="20"/>
                <w:szCs w:val="20"/>
              </w:rPr>
              <w:t xml:space="preserve">Quem fica com o código-fonte (UzzAI vs. cliente) é uma definição estratégica para a UzzAI (afeta a possibilidade de revender o sistema para outras distribuidoras) e está detalhada apenas no Escopo Técnico. A Proposta Comercial não toca nesse ponto — o cliente pode assumir que o produto é dele desde o início.</w:t>
            </w:r>
          </w:p>
        </w:tc>
      </w:tr>
    </w:tbl>
    <w:p>
      <w:pPr>
        <w:spacing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CCCCC" w:sz="1"/>
              <w:left w:val="single" w:color="C0392B" w:sz="24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</w:rPr>
              <w:t xml:space="preserve">Importação de Excel e funcionamento offline ausentes do texto comercial do MVP A</w:t>
            </w:r>
          </w:p>
          <w:p>
            <w:r>
              <w:rPr>
                <w:sz w:val="20"/>
                <w:szCs w:val="20"/>
              </w:rPr>
              <w:t xml:space="preserve">Esses dois itens nasceram diretamente das respostas do cliente na discovery (sinal fraco na serra e entregas chegando por planilha) e estão no núcleo do Escopo Técnico do MVP A — mas não aparecem descritos na Proposta Comercial. Vale incluir explicitamente, já que são parte do que o cliente pediu e podem ser vistos como diferenciais da proposta.</w:t>
            </w:r>
          </w:p>
        </w:tc>
      </w:tr>
    </w:tbl>
    <w:p>
      <w:pPr>
        <w:spacing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CCCCC" w:sz="1"/>
              <w:left w:val="single" w:color="C0392B" w:sz="24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</w:rPr>
              <w:t xml:space="preserve">Inconsistência interna no próprio Escopo Técnico</w:t>
            </w:r>
          </w:p>
          <w:p>
            <w:r>
              <w:rPr>
                <w:sz w:val="20"/>
                <w:szCs w:val="20"/>
              </w:rPr>
              <w:t xml:space="preserve">A seção 3.7 lista “Relatórios Exportáveis” como incluso no MVP B, mas a seção 4 (“Fora do Escopo v2/v3”) lista “Relatório exportável (PDF/Excel)” como v2 com a justificativa “não solicitado no MVP”. Vale alinhar internamente qual das duas versões é a válida antes de repassar ao cliente.</w:t>
            </w:r>
          </w:p>
        </w:tc>
      </w:tr>
    </w:tbl>
    <w:p>
      <w:pPr>
        <w:pStyle w:val="Heading1"/>
      </w:pPr>
      <w:r>
        <w:t xml:space="preserve">8. Recomendação</w:t>
      </w:r>
    </w:p>
    <w:p>
      <w:pPr>
        <w:spacing w:after="160"/>
      </w:pPr>
      <w:r>
        <w:t xml:space="preserve">Antes de apresentar a proposta ao Matheus, vale alinhar internamente (Vítor + Luis + Pedro) os valores de mensalidade e o modelo de recorrência pura, e decidir se a cláusula de propriedade intelectual deve aparecer já na proposta comercial ou só no contrato final. Isso evita reabrir negociação de preço depois que o cliente já tiver uma expectativa formada com os números da proposta.</w:t>
      </w:r>
    </w:p>
    <w:p>
      <w:pPr>
        <w:spacing w:before="300"/>
      </w:pPr>
    </w:p>
    <w:p>
      <w:pPr>
        <w:pBdr>
          <w:top w:val="single" w:color="CCCCCC" w:sz="6" w:space="8"/>
        </w:pBdr>
      </w:pPr>
      <w:r>
        <w:rPr>
          <w:i/>
          <w:iCs/>
          <w:color w:val="999999"/>
          <w:sz w:val="16"/>
          <w:szCs w:val="16"/>
        </w:rPr>
        <w:t xml:space="preserve">Comparativo elaborado a partir de ALIANCA-LOG-ESCOPO-TECNICO-R01.pdf e proposta_alianca_log.docx · Junho 2026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2026-06-22T17:54:48.423Z</dcterms:created>
  <dcterms:modified xsi:type="dcterms:W3CDTF">2026-06-22T17:54:48.424Z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