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81" w:rsidRPr="00E6616F" w:rsidRDefault="00486381" w:rsidP="008F09E9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>POST MERGER ANALYSIS OF CUSTOMER SATISFACTION AND LOYALTY – A STUDY ON RECENT MERGER OF ASSOCIATES OF SBI WITH ITSELF</w:t>
      </w:r>
    </w:p>
    <w:p w:rsidR="00486381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>PROPOSED MODEL:</w:t>
      </w:r>
    </w:p>
    <w:p w:rsidR="00510ABC" w:rsidRPr="00E6616F" w:rsidRDefault="00510ABC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.25pt">
            <v:imagedata r:id="rId5" o:title="model"/>
          </v:shape>
        </w:pict>
      </w:r>
    </w:p>
    <w:p w:rsidR="00672E37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6381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>HYPOTHESIS:</w:t>
      </w:r>
    </w:p>
    <w:p w:rsidR="00486381" w:rsidRPr="00E6616F" w:rsidRDefault="00486381" w:rsidP="00B97DB5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 xml:space="preserve">H0 – </w:t>
      </w:r>
      <w:r w:rsidRPr="00E6616F">
        <w:rPr>
          <w:rFonts w:ascii="Times New Roman" w:hAnsi="Times New Roman" w:cs="Times New Roman"/>
          <w:sz w:val="24"/>
          <w:szCs w:val="24"/>
        </w:rPr>
        <w:t>Psychological contract violation has negative impact on customer satisfaction.</w:t>
      </w:r>
    </w:p>
    <w:p w:rsidR="00486381" w:rsidRPr="00E6616F" w:rsidRDefault="00486381" w:rsidP="00B97DB5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gramStart"/>
      <w:r w:rsidRPr="00E6616F">
        <w:rPr>
          <w:rFonts w:ascii="Times New Roman" w:hAnsi="Times New Roman" w:cs="Times New Roman"/>
          <w:b/>
          <w:bCs/>
          <w:sz w:val="24"/>
          <w:szCs w:val="24"/>
        </w:rPr>
        <w:t>1  -</w:t>
      </w:r>
      <w:proofErr w:type="gramEnd"/>
      <w:r w:rsidRPr="00E66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16F">
        <w:rPr>
          <w:rFonts w:ascii="Times New Roman" w:hAnsi="Times New Roman" w:cs="Times New Roman"/>
          <w:sz w:val="24"/>
          <w:szCs w:val="24"/>
        </w:rPr>
        <w:t>Customer satisfaction has positive impact on customer loyalty.</w:t>
      </w:r>
    </w:p>
    <w:p w:rsidR="00672E37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6381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>RESEARCH METHODOLOGY:</w:t>
      </w:r>
    </w:p>
    <w:p w:rsidR="00486381" w:rsidRPr="00E6616F" w:rsidRDefault="00486381" w:rsidP="008F09E9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16F">
        <w:rPr>
          <w:rFonts w:ascii="Times New Roman" w:hAnsi="Times New Roman" w:cs="Times New Roman"/>
          <w:sz w:val="24"/>
          <w:szCs w:val="24"/>
        </w:rPr>
        <w:t>Cronbach’s Alpha is used here to test reliability of scales used. Preliminary data analysis involves testing correlation among variables to explore hypothesized relationships.</w:t>
      </w:r>
      <w:r w:rsidRPr="00E6616F">
        <w:rPr>
          <w:rFonts w:ascii="Times New Roman" w:hAnsi="Times New Roman" w:cs="Times New Roman"/>
          <w:sz w:val="24"/>
          <w:szCs w:val="24"/>
        </w:rPr>
        <w:tab/>
        <w:t>Survey method is used to collect data and random sampling was followed. Customers of State Bank of India (SBI), State Bank of Travancore (SBT</w:t>
      </w:r>
      <w:proofErr w:type="gramStart"/>
      <w:r w:rsidRPr="00E6616F">
        <w:rPr>
          <w:rFonts w:ascii="Times New Roman" w:hAnsi="Times New Roman" w:cs="Times New Roman"/>
          <w:sz w:val="24"/>
          <w:szCs w:val="24"/>
        </w:rPr>
        <w:t>),  State</w:t>
      </w:r>
      <w:proofErr w:type="gramEnd"/>
      <w:r w:rsidRPr="00E6616F">
        <w:rPr>
          <w:rFonts w:ascii="Times New Roman" w:hAnsi="Times New Roman" w:cs="Times New Roman"/>
          <w:sz w:val="24"/>
          <w:szCs w:val="24"/>
        </w:rPr>
        <w:t xml:space="preserve"> Bank of Mysore (SBM), and state Bank of Hyderabad (SBH) participated in the survey. The questionnaires were given to willing customers and doubts were clarified while answering the questionnaire.</w:t>
      </w:r>
    </w:p>
    <w:p w:rsidR="00E6616F" w:rsidRPr="00E6616F" w:rsidRDefault="00E6616F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86381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>INSTRUMENT:</w:t>
      </w:r>
    </w:p>
    <w:p w:rsidR="00486381" w:rsidRPr="00E6616F" w:rsidRDefault="00486381" w:rsidP="008F09E9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16F">
        <w:rPr>
          <w:rFonts w:ascii="Times New Roman" w:hAnsi="Times New Roman" w:cs="Times New Roman"/>
          <w:sz w:val="24"/>
          <w:szCs w:val="24"/>
        </w:rPr>
        <w:t xml:space="preserve">The questionnaire consists of </w:t>
      </w:r>
      <w:r w:rsidR="00510ABC" w:rsidRPr="00E6616F">
        <w:rPr>
          <w:rFonts w:ascii="Times New Roman" w:hAnsi="Times New Roman" w:cs="Times New Roman"/>
          <w:sz w:val="24"/>
          <w:szCs w:val="24"/>
        </w:rPr>
        <w:t>27</w:t>
      </w:r>
      <w:r w:rsidRPr="00E6616F">
        <w:rPr>
          <w:rFonts w:ascii="Times New Roman" w:hAnsi="Times New Roman" w:cs="Times New Roman"/>
          <w:sz w:val="24"/>
          <w:szCs w:val="24"/>
        </w:rPr>
        <w:t xml:space="preserve"> questions and 8 standard scales were used.</w:t>
      </w:r>
    </w:p>
    <w:p w:rsidR="00486381" w:rsidRPr="00E6616F" w:rsidRDefault="00486381" w:rsidP="008F09E9">
      <w:pPr>
        <w:pStyle w:val="ListParagraph"/>
        <w:numPr>
          <w:ilvl w:val="0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sz w:val="24"/>
          <w:szCs w:val="24"/>
        </w:rPr>
        <w:t>PCV was measured using</w:t>
      </w:r>
      <w:r w:rsidR="00510ABC" w:rsidRPr="00E66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BC" w:rsidRPr="00E6616F">
        <w:rPr>
          <w:rFonts w:ascii="Times New Roman" w:hAnsi="Times New Roman" w:cs="Times New Roman"/>
          <w:sz w:val="24"/>
          <w:szCs w:val="24"/>
        </w:rPr>
        <w:t>Psycones</w:t>
      </w:r>
      <w:proofErr w:type="spellEnd"/>
      <w:r w:rsidR="00510ABC" w:rsidRPr="00E6616F">
        <w:rPr>
          <w:rFonts w:ascii="Times New Roman" w:hAnsi="Times New Roman" w:cs="Times New Roman"/>
          <w:sz w:val="24"/>
          <w:szCs w:val="24"/>
        </w:rPr>
        <w:t xml:space="preserve"> (2005) – </w:t>
      </w:r>
      <w:proofErr w:type="gramStart"/>
      <w:r w:rsidR="00510ABC" w:rsidRPr="00E6616F">
        <w:rPr>
          <w:rFonts w:ascii="Times New Roman" w:hAnsi="Times New Roman" w:cs="Times New Roman"/>
          <w:sz w:val="24"/>
          <w:szCs w:val="24"/>
        </w:rPr>
        <w:t>5 point</w:t>
      </w:r>
      <w:proofErr w:type="gramEnd"/>
      <w:r w:rsidR="00510ABC" w:rsidRPr="00E6616F">
        <w:rPr>
          <w:rFonts w:ascii="Times New Roman" w:hAnsi="Times New Roman" w:cs="Times New Roman"/>
          <w:sz w:val="24"/>
          <w:szCs w:val="24"/>
        </w:rPr>
        <w:t xml:space="preserve"> scale</w:t>
      </w:r>
    </w:p>
    <w:p w:rsidR="00510ABC" w:rsidRPr="00E6616F" w:rsidRDefault="00510ABC" w:rsidP="00F661D0">
      <w:pPr>
        <w:pStyle w:val="ListParagraph"/>
        <w:numPr>
          <w:ilvl w:val="1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sz w:val="24"/>
          <w:szCs w:val="24"/>
        </w:rPr>
        <w:t>Service performance was measured using</w:t>
      </w:r>
      <w:r w:rsidR="00F661D0" w:rsidRPr="00E6616F">
        <w:rPr>
          <w:rFonts w:ascii="Times New Roman" w:hAnsi="Times New Roman" w:cs="Times New Roman"/>
          <w:sz w:val="24"/>
          <w:szCs w:val="24"/>
        </w:rPr>
        <w:t xml:space="preserve"> </w:t>
      </w:r>
      <w:r w:rsidR="00F661D0" w:rsidRPr="00E6616F">
        <w:rPr>
          <w:rFonts w:ascii="Times New Roman" w:hAnsi="Times New Roman" w:cs="Times New Roman"/>
          <w:sz w:val="24"/>
          <w:szCs w:val="24"/>
        </w:rPr>
        <w:t xml:space="preserve">Cronin, Brady, Thomas, </w:t>
      </w:r>
      <w:proofErr w:type="spellStart"/>
      <w:r w:rsidR="00F661D0" w:rsidRPr="00E6616F">
        <w:rPr>
          <w:rFonts w:ascii="Times New Roman" w:hAnsi="Times New Roman" w:cs="Times New Roman"/>
          <w:sz w:val="24"/>
          <w:szCs w:val="24"/>
        </w:rPr>
        <w:t>Hult</w:t>
      </w:r>
      <w:proofErr w:type="spellEnd"/>
      <w:r w:rsidR="00F661D0" w:rsidRPr="00E6616F">
        <w:rPr>
          <w:rFonts w:ascii="Times New Roman" w:hAnsi="Times New Roman" w:cs="Times New Roman"/>
          <w:sz w:val="24"/>
          <w:szCs w:val="24"/>
        </w:rPr>
        <w:t xml:space="preserve"> (2000) – </w:t>
      </w:r>
      <w:proofErr w:type="gramStart"/>
      <w:r w:rsidR="00F661D0" w:rsidRPr="00E6616F">
        <w:rPr>
          <w:rFonts w:ascii="Times New Roman" w:hAnsi="Times New Roman" w:cs="Times New Roman"/>
          <w:sz w:val="24"/>
          <w:szCs w:val="24"/>
        </w:rPr>
        <w:t>5 point</w:t>
      </w:r>
      <w:proofErr w:type="gramEnd"/>
      <w:r w:rsidR="00F661D0" w:rsidRPr="00E6616F">
        <w:rPr>
          <w:rFonts w:ascii="Times New Roman" w:hAnsi="Times New Roman" w:cs="Times New Roman"/>
          <w:sz w:val="24"/>
          <w:szCs w:val="24"/>
        </w:rPr>
        <w:t xml:space="preserve"> scale</w:t>
      </w:r>
    </w:p>
    <w:p w:rsidR="00F661D0" w:rsidRPr="00E6616F" w:rsidRDefault="00486381" w:rsidP="008F09E9">
      <w:pPr>
        <w:pStyle w:val="ListParagraph"/>
        <w:numPr>
          <w:ilvl w:val="0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sz w:val="24"/>
          <w:szCs w:val="24"/>
        </w:rPr>
        <w:t>Customer</w:t>
      </w:r>
      <w:r w:rsidR="00510ABC" w:rsidRPr="00E6616F">
        <w:rPr>
          <w:rFonts w:ascii="Times New Roman" w:hAnsi="Times New Roman" w:cs="Times New Roman"/>
          <w:sz w:val="24"/>
          <w:szCs w:val="24"/>
        </w:rPr>
        <w:t xml:space="preserve"> satisfaction was measured using </w:t>
      </w:r>
    </w:p>
    <w:p w:rsidR="00510ABC" w:rsidRPr="00E6616F" w:rsidRDefault="00510ABC" w:rsidP="00F661D0">
      <w:pPr>
        <w:pStyle w:val="ListParagraph"/>
        <w:numPr>
          <w:ilvl w:val="1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16F">
        <w:rPr>
          <w:rFonts w:ascii="Times New Roman" w:hAnsi="Times New Roman" w:cs="Times New Roman"/>
          <w:sz w:val="24"/>
          <w:szCs w:val="24"/>
        </w:rPr>
        <w:t>Angelova</w:t>
      </w:r>
      <w:proofErr w:type="spellEnd"/>
      <w:r w:rsidRPr="00E6616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6616F">
        <w:rPr>
          <w:rFonts w:ascii="Times New Roman" w:hAnsi="Times New Roman" w:cs="Times New Roman"/>
          <w:sz w:val="24"/>
          <w:szCs w:val="24"/>
        </w:rPr>
        <w:t>Zekiri</w:t>
      </w:r>
      <w:proofErr w:type="spellEnd"/>
      <w:r w:rsidRPr="00E6616F">
        <w:rPr>
          <w:rFonts w:ascii="Times New Roman" w:hAnsi="Times New Roman" w:cs="Times New Roman"/>
          <w:sz w:val="24"/>
          <w:szCs w:val="24"/>
        </w:rPr>
        <w:t xml:space="preserve"> (2011) </w:t>
      </w:r>
      <w:r w:rsidR="008F09E9" w:rsidRPr="00E661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6616F">
        <w:rPr>
          <w:rFonts w:ascii="Times New Roman" w:hAnsi="Times New Roman" w:cs="Times New Roman"/>
          <w:sz w:val="24"/>
          <w:szCs w:val="24"/>
        </w:rPr>
        <w:t>5 point</w:t>
      </w:r>
      <w:proofErr w:type="gramEnd"/>
      <w:r w:rsidRPr="00E6616F">
        <w:rPr>
          <w:rFonts w:ascii="Times New Roman" w:hAnsi="Times New Roman" w:cs="Times New Roman"/>
          <w:sz w:val="24"/>
          <w:szCs w:val="24"/>
        </w:rPr>
        <w:t xml:space="preserve"> scale.</w:t>
      </w:r>
    </w:p>
    <w:p w:rsidR="00F661D0" w:rsidRPr="00E6616F" w:rsidRDefault="00F661D0" w:rsidP="00F661D0">
      <w:pPr>
        <w:pStyle w:val="ListParagraph"/>
        <w:numPr>
          <w:ilvl w:val="1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sz w:val="24"/>
          <w:szCs w:val="24"/>
        </w:rPr>
        <w:t xml:space="preserve">Cronin, Brady, Thomas, </w:t>
      </w:r>
      <w:proofErr w:type="spellStart"/>
      <w:r w:rsidRPr="00E6616F">
        <w:rPr>
          <w:rFonts w:ascii="Times New Roman" w:hAnsi="Times New Roman" w:cs="Times New Roman"/>
          <w:sz w:val="24"/>
          <w:szCs w:val="24"/>
        </w:rPr>
        <w:t>Hult</w:t>
      </w:r>
      <w:proofErr w:type="spellEnd"/>
      <w:r w:rsidRPr="00E6616F">
        <w:rPr>
          <w:rFonts w:ascii="Times New Roman" w:hAnsi="Times New Roman" w:cs="Times New Roman"/>
          <w:sz w:val="24"/>
          <w:szCs w:val="24"/>
        </w:rPr>
        <w:t xml:space="preserve"> (2000) – </w:t>
      </w:r>
      <w:proofErr w:type="gramStart"/>
      <w:r w:rsidRPr="00E6616F">
        <w:rPr>
          <w:rFonts w:ascii="Times New Roman" w:hAnsi="Times New Roman" w:cs="Times New Roman"/>
          <w:sz w:val="24"/>
          <w:szCs w:val="24"/>
        </w:rPr>
        <w:t>5 point</w:t>
      </w:r>
      <w:proofErr w:type="gramEnd"/>
      <w:r w:rsidRPr="00E6616F">
        <w:rPr>
          <w:rFonts w:ascii="Times New Roman" w:hAnsi="Times New Roman" w:cs="Times New Roman"/>
          <w:sz w:val="24"/>
          <w:szCs w:val="24"/>
        </w:rPr>
        <w:t xml:space="preserve"> scale</w:t>
      </w:r>
    </w:p>
    <w:p w:rsidR="00510ABC" w:rsidRPr="00E6616F" w:rsidRDefault="00486381" w:rsidP="008F09E9">
      <w:pPr>
        <w:pStyle w:val="ListParagraph"/>
        <w:numPr>
          <w:ilvl w:val="0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sz w:val="24"/>
          <w:szCs w:val="24"/>
        </w:rPr>
        <w:t>Customer loyalty</w:t>
      </w:r>
      <w:r w:rsidR="00510ABC" w:rsidRPr="00E6616F">
        <w:rPr>
          <w:rFonts w:ascii="Times New Roman" w:hAnsi="Times New Roman" w:cs="Times New Roman"/>
          <w:sz w:val="24"/>
          <w:szCs w:val="24"/>
        </w:rPr>
        <w:t xml:space="preserve"> was measured using </w:t>
      </w:r>
    </w:p>
    <w:p w:rsidR="00486381" w:rsidRPr="00E6616F" w:rsidRDefault="00510ABC" w:rsidP="008F09E9">
      <w:pPr>
        <w:pStyle w:val="ListParagraph"/>
        <w:numPr>
          <w:ilvl w:val="1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sz w:val="24"/>
          <w:szCs w:val="24"/>
        </w:rPr>
        <w:t xml:space="preserve">Danaher &amp; </w:t>
      </w:r>
      <w:proofErr w:type="spellStart"/>
      <w:r w:rsidRPr="00E6616F">
        <w:rPr>
          <w:rFonts w:ascii="Times New Roman" w:hAnsi="Times New Roman" w:cs="Times New Roman"/>
          <w:sz w:val="24"/>
          <w:szCs w:val="24"/>
        </w:rPr>
        <w:t>Haddrell</w:t>
      </w:r>
      <w:proofErr w:type="spellEnd"/>
      <w:r w:rsidRPr="00E6616F">
        <w:rPr>
          <w:rFonts w:ascii="Times New Roman" w:hAnsi="Times New Roman" w:cs="Times New Roman"/>
          <w:sz w:val="24"/>
          <w:szCs w:val="24"/>
        </w:rPr>
        <w:t xml:space="preserve"> (1996) – </w:t>
      </w:r>
      <w:proofErr w:type="gramStart"/>
      <w:r w:rsidRPr="00E6616F">
        <w:rPr>
          <w:rFonts w:ascii="Times New Roman" w:hAnsi="Times New Roman" w:cs="Times New Roman"/>
          <w:sz w:val="24"/>
          <w:szCs w:val="24"/>
        </w:rPr>
        <w:t>4 point</w:t>
      </w:r>
      <w:proofErr w:type="gramEnd"/>
      <w:r w:rsidRPr="00E6616F">
        <w:rPr>
          <w:rFonts w:ascii="Times New Roman" w:hAnsi="Times New Roman" w:cs="Times New Roman"/>
          <w:sz w:val="24"/>
          <w:szCs w:val="24"/>
        </w:rPr>
        <w:t xml:space="preserve"> scale</w:t>
      </w:r>
    </w:p>
    <w:p w:rsidR="00510ABC" w:rsidRPr="00E6616F" w:rsidRDefault="00510ABC" w:rsidP="008F09E9">
      <w:pPr>
        <w:pStyle w:val="ListParagraph"/>
        <w:numPr>
          <w:ilvl w:val="1"/>
          <w:numId w:val="1"/>
        </w:num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16F">
        <w:rPr>
          <w:rFonts w:ascii="Times New Roman" w:hAnsi="Times New Roman" w:cs="Times New Roman"/>
          <w:sz w:val="24"/>
          <w:szCs w:val="24"/>
        </w:rPr>
        <w:t>Angelova</w:t>
      </w:r>
      <w:proofErr w:type="spellEnd"/>
      <w:r w:rsidRPr="00E6616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6616F">
        <w:rPr>
          <w:rFonts w:ascii="Times New Roman" w:hAnsi="Times New Roman" w:cs="Times New Roman"/>
          <w:sz w:val="24"/>
          <w:szCs w:val="24"/>
        </w:rPr>
        <w:t>Zekiri</w:t>
      </w:r>
      <w:proofErr w:type="spellEnd"/>
      <w:r w:rsidRPr="00E6616F">
        <w:rPr>
          <w:rFonts w:ascii="Times New Roman" w:hAnsi="Times New Roman" w:cs="Times New Roman"/>
          <w:sz w:val="24"/>
          <w:szCs w:val="24"/>
        </w:rPr>
        <w:t xml:space="preserve"> (2011) – </w:t>
      </w:r>
      <w:proofErr w:type="gramStart"/>
      <w:r w:rsidRPr="00E6616F">
        <w:rPr>
          <w:rFonts w:ascii="Times New Roman" w:hAnsi="Times New Roman" w:cs="Times New Roman"/>
          <w:sz w:val="24"/>
          <w:szCs w:val="24"/>
        </w:rPr>
        <w:t>5 point</w:t>
      </w:r>
      <w:proofErr w:type="gramEnd"/>
      <w:r w:rsidRPr="00E6616F">
        <w:rPr>
          <w:rFonts w:ascii="Times New Roman" w:hAnsi="Times New Roman" w:cs="Times New Roman"/>
          <w:sz w:val="24"/>
          <w:szCs w:val="24"/>
        </w:rPr>
        <w:t xml:space="preserve"> scale.</w:t>
      </w:r>
    </w:p>
    <w:p w:rsidR="007246BE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6616F">
        <w:rPr>
          <w:rFonts w:ascii="Times New Roman" w:hAnsi="Times New Roman" w:cs="Times New Roman"/>
          <w:b/>
          <w:bCs/>
          <w:sz w:val="24"/>
          <w:szCs w:val="24"/>
        </w:rPr>
        <w:t>PILOT TESTING</w:t>
      </w:r>
    </w:p>
    <w:p w:rsidR="007246BE" w:rsidRPr="00E6616F" w:rsidRDefault="007246BE" w:rsidP="008F09E9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16F">
        <w:rPr>
          <w:rFonts w:ascii="Times New Roman" w:hAnsi="Times New Roman" w:cs="Times New Roman"/>
          <w:sz w:val="24"/>
          <w:szCs w:val="24"/>
        </w:rPr>
        <w:t>Cronbach’s coefficient was used to test the reliability.</w:t>
      </w:r>
    </w:p>
    <w:p w:rsidR="00FE4A5F" w:rsidRPr="00E6616F" w:rsidRDefault="00672E37" w:rsidP="00672E37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 xml:space="preserve">Table 1 - </w:t>
      </w:r>
      <w:r w:rsidR="006E707A" w:rsidRPr="00E6616F">
        <w:rPr>
          <w:rFonts w:ascii="Times New Roman" w:hAnsi="Times New Roman" w:cs="Times New Roman"/>
          <w:b/>
          <w:bCs/>
          <w:sz w:val="24"/>
          <w:szCs w:val="24"/>
        </w:rPr>
        <w:t>Reliability</w:t>
      </w:r>
      <w:r w:rsidR="00785E6C" w:rsidRPr="00E6616F">
        <w:rPr>
          <w:rFonts w:ascii="Times New Roman" w:hAnsi="Times New Roman" w:cs="Times New Roman"/>
          <w:b/>
          <w:bCs/>
          <w:sz w:val="24"/>
          <w:szCs w:val="24"/>
        </w:rPr>
        <w:t xml:space="preserve"> of 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785E6C" w:rsidRPr="00E6616F" w:rsidTr="00BA5BFF">
        <w:trPr>
          <w:trHeight w:val="567"/>
        </w:trPr>
        <w:tc>
          <w:tcPr>
            <w:tcW w:w="3681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Measures</w:t>
            </w:r>
          </w:p>
        </w:tc>
        <w:tc>
          <w:tcPr>
            <w:tcW w:w="2329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Cronbach’</w:t>
            </w:r>
            <w:r w:rsidR="00BA5BFF" w:rsidRPr="00E661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 α</w:t>
            </w:r>
          </w:p>
        </w:tc>
        <w:tc>
          <w:tcPr>
            <w:tcW w:w="3006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items</w:t>
            </w:r>
          </w:p>
        </w:tc>
      </w:tr>
      <w:tr w:rsidR="00785E6C" w:rsidRPr="00E6616F" w:rsidTr="00BA5BFF">
        <w:trPr>
          <w:trHeight w:val="567"/>
        </w:trPr>
        <w:tc>
          <w:tcPr>
            <w:tcW w:w="3681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Psychological contract violation</w:t>
            </w:r>
          </w:p>
        </w:tc>
        <w:tc>
          <w:tcPr>
            <w:tcW w:w="2329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3006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5E6C" w:rsidRPr="00E6616F" w:rsidTr="00BA5BFF">
        <w:trPr>
          <w:trHeight w:val="567"/>
        </w:trPr>
        <w:tc>
          <w:tcPr>
            <w:tcW w:w="3681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After merger service performance</w:t>
            </w:r>
          </w:p>
        </w:tc>
        <w:tc>
          <w:tcPr>
            <w:tcW w:w="2329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3006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85E6C" w:rsidRPr="00E6616F" w:rsidTr="00BA5BFF">
        <w:trPr>
          <w:trHeight w:val="567"/>
        </w:trPr>
        <w:tc>
          <w:tcPr>
            <w:tcW w:w="3681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Customer satisfaction</w:t>
            </w:r>
          </w:p>
        </w:tc>
        <w:tc>
          <w:tcPr>
            <w:tcW w:w="2329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3006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5E6C" w:rsidRPr="00E6616F" w:rsidTr="00BA5BFF">
        <w:trPr>
          <w:trHeight w:val="567"/>
        </w:trPr>
        <w:tc>
          <w:tcPr>
            <w:tcW w:w="3681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2329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3006" w:type="dxa"/>
          </w:tcPr>
          <w:p w:rsidR="00785E6C" w:rsidRPr="00E6616F" w:rsidRDefault="00785E6C" w:rsidP="008F09E9">
            <w:pPr>
              <w:spacing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16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246BE" w:rsidRPr="00E6616F" w:rsidRDefault="007246BE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</w:p>
    <w:p w:rsidR="007246BE" w:rsidRPr="00E6616F" w:rsidRDefault="007246BE" w:rsidP="008F09E9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sz w:val="24"/>
          <w:szCs w:val="24"/>
        </w:rPr>
        <w:t>If Cronbach coefficient alphas are above 0.7 or 0.8 the scales are reliable. From the table all measures are greater than 0.7. So our scales are reliable.</w:t>
      </w:r>
    </w:p>
    <w:p w:rsidR="00672E37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2E37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246BE" w:rsidRPr="00E6616F" w:rsidRDefault="00672E37" w:rsidP="008F09E9">
      <w:pPr>
        <w:spacing w:after="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:rsidR="007246BE" w:rsidRPr="00E6616F" w:rsidRDefault="007246BE" w:rsidP="008F09E9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E6616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16F">
        <w:rPr>
          <w:rFonts w:ascii="Times New Roman" w:hAnsi="Times New Roman" w:cs="Times New Roman"/>
          <w:sz w:val="24"/>
          <w:szCs w:val="24"/>
        </w:rPr>
        <w:t>The survey was carried out in the premises of SBI and SBT (</w:t>
      </w:r>
      <w:proofErr w:type="spellStart"/>
      <w:r w:rsidRPr="00E6616F">
        <w:rPr>
          <w:rFonts w:ascii="Times New Roman" w:hAnsi="Times New Roman" w:cs="Times New Roman"/>
          <w:sz w:val="24"/>
          <w:szCs w:val="24"/>
        </w:rPr>
        <w:t>pollachi</w:t>
      </w:r>
      <w:proofErr w:type="spellEnd"/>
      <w:r w:rsidRPr="00E6616F">
        <w:rPr>
          <w:rFonts w:ascii="Times New Roman" w:hAnsi="Times New Roman" w:cs="Times New Roman"/>
          <w:sz w:val="24"/>
          <w:szCs w:val="24"/>
        </w:rPr>
        <w:t xml:space="preserve">), SBM and SBH (Coimbatore). In </w:t>
      </w:r>
      <w:proofErr w:type="gramStart"/>
      <w:r w:rsidRPr="00E6616F"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 w:rsidRPr="00E6616F">
        <w:rPr>
          <w:rFonts w:ascii="Times New Roman" w:hAnsi="Times New Roman" w:cs="Times New Roman"/>
          <w:sz w:val="24"/>
          <w:szCs w:val="24"/>
        </w:rPr>
        <w:t xml:space="preserve"> online survey was also conducted and the responses obtained was from places like Chennai, Jaipur, Trichy and Bangalore.</w:t>
      </w:r>
    </w:p>
    <w:sectPr w:rsidR="007246BE" w:rsidRPr="00E6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1C52"/>
    <w:multiLevelType w:val="hybridMultilevel"/>
    <w:tmpl w:val="662282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6C"/>
    <w:rsid w:val="00486381"/>
    <w:rsid w:val="00510ABC"/>
    <w:rsid w:val="00672E37"/>
    <w:rsid w:val="006E707A"/>
    <w:rsid w:val="007246BE"/>
    <w:rsid w:val="00785E6C"/>
    <w:rsid w:val="008F09E9"/>
    <w:rsid w:val="00B97DB5"/>
    <w:rsid w:val="00BA5BFF"/>
    <w:rsid w:val="00E6616F"/>
    <w:rsid w:val="00F661D0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FD69"/>
  <w15:chartTrackingRefBased/>
  <w15:docId w15:val="{56ABA6E7-CD08-4AC4-862B-A83BF6A7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Adhithyan Vijayakumar</dc:creator>
  <cp:keywords/>
  <dc:description/>
  <cp:lastModifiedBy>Adhithyan Vijayakumar</cp:lastModifiedBy>
  <cp:revision>8</cp:revision>
  <dcterms:created xsi:type="dcterms:W3CDTF">2018-02-20T11:22:00Z</dcterms:created>
  <dcterms:modified xsi:type="dcterms:W3CDTF">2018-02-21T06:35:00Z</dcterms:modified>
</cp:coreProperties>
</file>