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Logging and Monitoring Standard Operating Procedure</w:t>
      </w:r>
    </w:p>
    <w:tbl>
      <w:tblPr>
        <w:tblW w:type="auto" w:w="0"/>
        <w:tblLook w:firstColumn="1" w:firstRow="1" w:lastColumn="0" w:lastRow="0" w:noHBand="0" w:noVBand="1" w:val="04A0"/>
      </w:tblPr>
      <w:tblGrid>
        <w:gridCol w:w="4320"/>
        <w:gridCol w:w="4320"/>
      </w:tblGrid>
      <w:tr>
        <w:tc>
          <w:tcPr>
            <w:tcW w:type="dxa" w:w="4320"/>
          </w:tcPr>
          <w:p>
            <w:r>
              <w:t>Document owner</w:t>
            </w:r>
          </w:p>
        </w:tc>
        <w:tc>
          <w:tcPr>
            <w:tcW w:type="dxa" w:w="4320"/>
          </w:tcPr>
          <w:p>
            <w:r>
              <w:t>Nikos Alevras, Systems Administrator</w:t>
            </w:r>
          </w:p>
        </w:tc>
      </w:tr>
      <w:tr>
        <w:tc>
          <w:tcPr>
            <w:tcW w:type="dxa" w:w="4320"/>
          </w:tcPr>
          <w:p>
            <w:r>
              <w:t>Approved by</w:t>
            </w:r>
          </w:p>
        </w:tc>
        <w:tc>
          <w:tcPr>
            <w:tcW w:type="dxa" w:w="4320"/>
          </w:tcPr>
          <w:p>
            <w:r>
              <w:t>Head of IT</w:t>
            </w:r>
          </w:p>
        </w:tc>
      </w:tr>
      <w:tr>
        <w:tc>
          <w:tcPr>
            <w:tcW w:type="dxa" w:w="4320"/>
          </w:tcPr>
          <w:p>
            <w:r>
              <w:t>Version</w:t>
            </w:r>
          </w:p>
        </w:tc>
        <w:tc>
          <w:tcPr>
            <w:tcW w:type="dxa" w:w="4320"/>
          </w:tcPr>
          <w:p>
            <w:r>
              <w:t>1.3</w:t>
            </w:r>
          </w:p>
        </w:tc>
      </w:tr>
      <w:tr>
        <w:tc>
          <w:tcPr>
            <w:tcW w:type="dxa" w:w="4320"/>
          </w:tcPr>
          <w:p>
            <w:r>
              <w:t>Approval date</w:t>
            </w:r>
          </w:p>
        </w:tc>
        <w:tc>
          <w:tcPr>
            <w:tcW w:type="dxa" w:w="4320"/>
          </w:tcPr>
          <w:p>
            <w:r>
              <w:t>2026-01-20</w:t>
            </w:r>
          </w:p>
        </w:tc>
      </w:tr>
      <w:tr>
        <w:tc>
          <w:tcPr>
            <w:tcW w:type="dxa" w:w="4320"/>
          </w:tcPr>
          <w:p>
            <w:r>
              <w:t>Classification</w:t>
            </w:r>
          </w:p>
        </w:tc>
        <w:tc>
          <w:tcPr>
            <w:tcW w:type="dxa" w:w="4320"/>
          </w:tcPr>
          <w:p>
            <w:r>
              <w:t>Internal</w:t>
            </w:r>
          </w:p>
        </w:tc>
      </w:tr>
      <w:tr>
        <w:tc>
          <w:tcPr>
            <w:tcW w:type="dxa" w:w="4320"/>
          </w:tcPr>
          <w:p>
            <w:r>
              <w:t>Next review</w:t>
            </w:r>
          </w:p>
        </w:tc>
        <w:tc>
          <w:tcPr>
            <w:tcW w:type="dxa" w:w="4320"/>
          </w:tcPr>
          <w:p>
            <w:r>
              <w:t>2027-01-20</w:t>
            </w:r>
          </w:p>
        </w:tc>
      </w:tr>
    </w:tbl>
    <w:p>
      <w:r>
        <w:t>Logging</w:t>
      </w:r>
    </w:p>
    <w:p>
      <w:r>
        <w:t>Audit logs are generated on the transport management system, the customer portal and the firewall. Event logs are retained for one year and are protected from alteration by staff who administer the systems they cover.</w:t>
      </w:r>
    </w:p>
    <w:p>
      <w:r>
        <w:t>Monitoring activities</w:t>
      </w:r>
    </w:p>
    <w:p>
      <w:r>
        <w:t>The firewall and server activity is monitored for anomalous behaviour. Alerts are reviewed each working morning by the systems administrator.</w:t>
      </w:r>
    </w:p>
    <w:p>
      <w:r>
        <w:t>Clock synchronisation</w:t>
      </w:r>
    </w:p>
    <w:p>
      <w:r>
        <w:t>All servers take their time source from NTP so that logs from different systems can be compared accurately.</w:t>
      </w:r>
    </w:p>
    <w:p>
      <w:r>
        <w:t>Network security</w:t>
      </w:r>
    </w:p>
    <w:p>
      <w:r>
        <w:t>Firewall rules are documented and reviewed twice a year. Filtering is applied at the network perimeter.</w:t>
      </w:r>
    </w:p>
    <w:p>
      <w:r>
        <w:t>Related documents</w:t>
      </w:r>
    </w:p>
    <w:p>
      <w:r>
        <w:t>Retention periods are defined in accordance with the Records Retention Standard.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