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Times New Roman" w:hAnsiTheme="minorHAnsi"/>
          <w:color w:val="auto"/>
          <w:sz w:val="22"/>
          <w:szCs w:val="22"/>
          <w:lang w:val="es-ES" w:bidi="ar-SA"/>
        </w:rPr>
        <w:alias w:val="Topic"/>
        <w:tag w:val="107de6ce-9cf1-4eb5-82d7-aaa0f5812bd0"/>
        <w:id w:val="1559743096"/>
        <w:placeholder>
          <w:docPart w:val="DefaultPlaceholder_1081868574"/>
        </w:placeholder>
        <w:text/>
      </w:sdtPr>
      <w:sdtEndPr/>
      <w:sdtContent>
        <w:p w:rsidR="005A28E2" w:rsidRPr="005A28E2" w:rsidRDefault="005A28E2" w:rsidP="005A28E2">
          <w:pPr>
            <w:pStyle w:val="ppTopic"/>
            <w:rPr>
              <w:rFonts w:asciiTheme="minorHAnsi" w:eastAsia="Times New Roman" w:hAnsiTheme="minorHAnsi"/>
              <w:color w:val="auto"/>
              <w:sz w:val="22"/>
              <w:szCs w:val="22"/>
              <w:lang w:val="es-ES" w:bidi="ar-SA"/>
            </w:rPr>
          </w:pPr>
          <w:r w:rsidRPr="005A28E2">
            <w:rPr>
              <w:rFonts w:eastAsia="Times New Roman"/>
              <w:color w:val="auto"/>
              <w:lang w:val="es-ES" w:bidi="ar-SA"/>
            </w:rPr>
            <w:t>Funcionalidades de CM 2012</w:t>
          </w:r>
        </w:p>
      </w:sdtContent>
    </w:sdt>
    <w:p w:rsidR="006B6F5B" w:rsidRPr="006B6F5B" w:rsidRDefault="006B6F5B" w:rsidP="006B6F5B">
      <w:pPr>
        <w:pStyle w:val="ppBodyText"/>
        <w:rPr>
          <w:rFonts w:eastAsia="Times New Roman"/>
          <w:lang w:val="es-ES" w:bidi="ar-SA"/>
        </w:rPr>
      </w:pPr>
      <w:hyperlink r:id="rId6" w:history="1">
        <w:r w:rsidRPr="006B6F5B">
          <w:rPr>
            <w:rStyle w:val="Hyperlink"/>
            <w:b/>
            <w:bCs/>
            <w:lang w:val="es-ES"/>
          </w:rPr>
          <w:t>Marcela Berri</w:t>
        </w:r>
        <w:r w:rsidRPr="006B6F5B">
          <w:rPr>
            <w:rStyle w:val="Hyperlink"/>
            <w:lang w:val="es-ES"/>
          </w:rPr>
          <w:t xml:space="preserve"> </w:t>
        </w:r>
        <w:r w:rsidRPr="006B6F5B">
          <w:rPr>
            <w:color w:val="0000FF"/>
            <w:u w:val="single"/>
            <w:lang w:val="es-ES"/>
          </w:rPr>
          <w:br/>
        </w:r>
      </w:hyperlink>
      <w:r w:rsidRPr="006B6F5B">
        <w:rPr>
          <w:lang w:val="es-ES"/>
        </w:rPr>
        <w:t xml:space="preserve">Instructor / Consultor </w:t>
      </w:r>
      <w:proofErr w:type="spellStart"/>
      <w:r w:rsidRPr="006B6F5B">
        <w:rPr>
          <w:lang w:val="es-ES"/>
        </w:rPr>
        <w:t>Senior</w:t>
      </w:r>
      <w:proofErr w:type="spellEnd"/>
      <w:r w:rsidRPr="006B6F5B">
        <w:rPr>
          <w:lang w:val="es-ES"/>
        </w:rPr>
        <w:t xml:space="preserve"> IT</w:t>
      </w:r>
      <w:r w:rsidRPr="006B6F5B">
        <w:rPr>
          <w:lang w:val="es-ES"/>
        </w:rPr>
        <w:br/>
        <w:t xml:space="preserve">MCT – MVP </w:t>
      </w:r>
      <w:proofErr w:type="spellStart"/>
      <w:r w:rsidRPr="006B6F5B">
        <w:rPr>
          <w:lang w:val="es-ES"/>
        </w:rPr>
        <w:t>Configuration</w:t>
      </w:r>
      <w:proofErr w:type="spellEnd"/>
      <w:r w:rsidRPr="006B6F5B">
        <w:rPr>
          <w:lang w:val="es-ES"/>
        </w:rPr>
        <w:t xml:space="preserve"> Manager</w:t>
      </w:r>
    </w:p>
    <w:p w:rsidR="006B6F5B" w:rsidRDefault="006B6F5B" w:rsidP="006B6F5B">
      <w:pPr>
        <w:pStyle w:val="ppBodyText"/>
      </w:pPr>
      <w:r>
        <w:t xml:space="preserve">MCTS Server Administrator - MCTS AD 2008 - MCTS Network </w:t>
      </w:r>
      <w:proofErr w:type="spellStart"/>
      <w:r>
        <w:t>Inf</w:t>
      </w:r>
      <w:proofErr w:type="spellEnd"/>
      <w:r>
        <w:br/>
      </w:r>
      <w:bookmarkStart w:id="0" w:name="_GoBack"/>
      <w:r>
        <w:t>MCTS - Server Virtualization</w:t>
      </w:r>
      <w:r>
        <w:br/>
      </w:r>
      <w:bookmarkEnd w:id="0"/>
      <w:r>
        <w:t>MCTS W7 &amp; Off2010 - MCTS SCCM 2012/2007 - MCTS SCOM 2007</w:t>
      </w:r>
      <w:r>
        <w:br/>
        <w:t xml:space="preserve">MCITP Exchange 2010/2007 - MCTS </w:t>
      </w:r>
      <w:proofErr w:type="spellStart"/>
      <w:r>
        <w:t>Exch</w:t>
      </w:r>
      <w:proofErr w:type="spellEnd"/>
      <w:r>
        <w:t xml:space="preserve"> 2010/2007 - MCTS Lync 2010</w:t>
      </w:r>
    </w:p>
    <w:p w:rsidR="006B6F5B" w:rsidRDefault="006B6F5B" w:rsidP="006B6F5B">
      <w:pPr>
        <w:pStyle w:val="ppBodyText"/>
      </w:pPr>
      <w:r>
        <w:t xml:space="preserve">Blog </w:t>
      </w:r>
      <w:hyperlink r:id="rId7" w:history="1">
        <w:r>
          <w:rPr>
            <w:rStyle w:val="Hyperlink"/>
            <w:b/>
            <w:bCs/>
          </w:rPr>
          <w:t>IT Technology Site</w:t>
        </w:r>
        <w:r>
          <w:rPr>
            <w:rStyle w:val="Hyperlink"/>
          </w:rPr>
          <w:t>:</w:t>
        </w:r>
        <w:r>
          <w:rPr>
            <w:rStyle w:val="Hyperlink"/>
            <w:i/>
            <w:iCs/>
          </w:rPr>
          <w:t xml:space="preserve"> About me</w:t>
        </w:r>
      </w:hyperlink>
    </w:p>
    <w:p w:rsidR="005A28E2" w:rsidRPr="006B6F5B" w:rsidRDefault="005A28E2" w:rsidP="006B6F5B">
      <w:pPr>
        <w:pStyle w:val="ppBodyText"/>
        <w:rPr>
          <w:lang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  <w:r w:rsidRPr="005A28E2">
        <w:rPr>
          <w:rFonts w:eastAsia="Times New Roman"/>
          <w:sz w:val="24"/>
          <w:szCs w:val="24"/>
          <w:lang w:val="es-ES" w:bidi="ar-SA"/>
        </w:rPr>
        <w:t>Aquí les dejo un listado de todas las funcionalidades que tiene el producto Configuration Manager 2012.</w:t>
      </w: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1)     Inventario de Hardware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  <w:r w:rsidRPr="005A28E2">
        <w:rPr>
          <w:rFonts w:eastAsia="Times New Roman"/>
          <w:lang w:val="es-ES" w:bidi="ar-SA"/>
        </w:rPr>
        <w:t>Realiza el inventario de los clientes, evaluando las clases del WMI.</w:t>
      </w:r>
    </w:p>
    <w:p w:rsidR="005A28E2" w:rsidRPr="005A28E2" w:rsidRDefault="005A28E2" w:rsidP="005A28E2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 xml:space="preserve">Qué es WMI 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sz w:val="24"/>
          <w:szCs w:val="24"/>
          <w:lang w:val="es-ES" w:bidi="ar-SA"/>
        </w:rPr>
        <w:t>Es importante entender un concepto sencillo, pero que pocos conocen.</w:t>
      </w:r>
      <w:r w:rsidRPr="005A28E2">
        <w:rPr>
          <w:rFonts w:eastAsia="Times New Roman"/>
          <w:lang w:val="es-ES" w:bidi="ar-SA"/>
        </w:rPr>
        <w:br/>
      </w:r>
      <w:r w:rsidRPr="005A28E2">
        <w:rPr>
          <w:rFonts w:eastAsia="Times New Roman"/>
          <w:i/>
          <w:lang w:val="es-ES" w:bidi="ar-SA"/>
        </w:rPr>
        <w:t xml:space="preserve">El WMI </w:t>
      </w:r>
      <w:r w:rsidRPr="005A28E2">
        <w:rPr>
          <w:rFonts w:eastAsia="Times New Roman"/>
          <w:lang w:val="es-ES" w:bidi="ar-SA"/>
        </w:rPr>
        <w:t>es un repositorio central de información en donde hay muchas aplicaciones que leen información y otras que escriben ahí.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/>
          <w:lang w:val="es-ES" w:bidi="ar-SA"/>
        </w:rPr>
        <w:t>Primer ejemplo concreto:</w:t>
      </w:r>
      <w:r w:rsidRPr="005A28E2">
        <w:rPr>
          <w:rFonts w:eastAsia="Times New Roman"/>
          <w:lang w:val="es-ES" w:bidi="ar-SA"/>
        </w:rPr>
        <w:t xml:space="preserve"> Cuando uno verifica las propiedades de la maquina (system properties), el SO informa el procesador, memoria, </w:t>
      </w:r>
      <w:r w:rsidR="00113A9A" w:rsidRPr="005A28E2">
        <w:rPr>
          <w:rFonts w:eastAsia="Times New Roman"/>
          <w:lang w:val="es-ES" w:bidi="ar-SA"/>
        </w:rPr>
        <w:t>versión,</w:t>
      </w:r>
      <w:r w:rsidRPr="005A28E2">
        <w:rPr>
          <w:rFonts w:eastAsia="Times New Roman"/>
          <w:lang w:val="es-ES" w:bidi="ar-SA"/>
        </w:rPr>
        <w:t xml:space="preserve"> etc….</w:t>
      </w:r>
      <w:r w:rsidRPr="005A28E2">
        <w:rPr>
          <w:rFonts w:eastAsia="Times New Roman"/>
          <w:lang w:val="es-ES" w:bidi="ar-SA"/>
        </w:rPr>
        <w:br/>
        <w:t>De dónde creen que saca esa info?.... del WMI.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lang w:val="es-ES" w:bidi="ar-SA"/>
        </w:rPr>
        <w:t>El WMI tiene una estructura de objetos: Clases de objetos, Objetos y sus atributos (jerárquicamente hablando)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lang w:val="es-ES" w:bidi="ar-SA"/>
        </w:rPr>
        <w:t>En W2k+/XP+ ya viene instalado como servicio: Winmgmt o  "Windows Management Instrumentation" o "Instrumental de administración de Windows"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/>
          <w:lang w:val="es-ES" w:bidi="ar-SA"/>
        </w:rPr>
        <w:t>Segundo ejemplo:</w:t>
      </w:r>
      <w:r w:rsidRPr="005A28E2">
        <w:rPr>
          <w:rFonts w:eastAsia="Times New Roman"/>
          <w:lang w:val="es-ES" w:bidi="ar-SA"/>
        </w:rPr>
        <w:t xml:space="preserve"> Cuando se instala un driver o un dispositivo, dónde creen que </w:t>
      </w:r>
      <w:r w:rsidR="00113A9A" w:rsidRPr="005A28E2">
        <w:rPr>
          <w:rFonts w:eastAsia="Times New Roman"/>
          <w:lang w:val="es-ES" w:bidi="ar-SA"/>
        </w:rPr>
        <w:t>guarda</w:t>
      </w:r>
      <w:r w:rsidRPr="005A28E2">
        <w:rPr>
          <w:rFonts w:eastAsia="Times New Roman"/>
          <w:lang w:val="es-ES" w:bidi="ar-SA"/>
        </w:rPr>
        <w:t xml:space="preserve"> esa info?  Luego uno la explora por ejemplo desde el “administrador de dispositivos” o “device manager” (que sería la utilidad que lee el WMI.</w:t>
      </w:r>
    </w:p>
    <w:p w:rsidR="005A28E2" w:rsidRPr="005A28E2" w:rsidRDefault="005A28E2" w:rsidP="005A28E2">
      <w:pPr>
        <w:pStyle w:val="Heading4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Definición formal: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/>
          <w:lang w:val="es-ES" w:bidi="ar-SA"/>
        </w:rPr>
        <w:t>WMI (Windows Management Instrumentation):</w:t>
      </w:r>
      <w:r w:rsidRPr="005A28E2">
        <w:rPr>
          <w:rFonts w:eastAsia="Times New Roman"/>
          <w:lang w:val="es-ES" w:bidi="ar-SA"/>
        </w:rPr>
        <w:t xml:space="preserve"> Es la implementación Microsoft de la capa WBEM.</w:t>
      </w:r>
      <w:r w:rsidRPr="005A28E2">
        <w:rPr>
          <w:rFonts w:eastAsia="Times New Roman"/>
          <w:lang w:val="es-ES" w:bidi="ar-SA"/>
        </w:rPr>
        <w:br/>
      </w:r>
      <w:r w:rsidRPr="005A28E2">
        <w:rPr>
          <w:rFonts w:eastAsia="Times New Roman"/>
          <w:i/>
          <w:lang w:val="es-ES" w:bidi="ar-SA"/>
        </w:rPr>
        <w:t>WBEN</w:t>
      </w:r>
      <w:r w:rsidRPr="005A28E2">
        <w:rPr>
          <w:rFonts w:eastAsia="Times New Roman"/>
          <w:lang w:val="es-ES" w:bidi="ar-SA"/>
        </w:rPr>
        <w:t>: Centro unificado del manejo de entidades o tareas distribuidas.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lang w:val="es-ES" w:bidi="ar-SA"/>
        </w:rPr>
        <w:lastRenderedPageBreak/>
        <w:t>Las aplicaciones se comunican con WBEM y esta llama a los “providers” como la Registry, el Event Viewer, el Event Log, el System Monitor, Win32, DMI (Desktop Management Interface) o SNMP.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lang w:val="es-ES" w:bidi="ar-SA"/>
        </w:rPr>
        <w:t xml:space="preserve">Para acceder a WBEM, se utiliza aplicaciones DCOM/COM. 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lang w:val="es-ES" w:bidi="ar-SA"/>
        </w:rPr>
        <w:t>Las funciones básicas en las que SCCM usa WBEM son:</w:t>
      </w:r>
    </w:p>
    <w:p w:rsidR="005A28E2" w:rsidRPr="005A28E2" w:rsidRDefault="005A28E2" w:rsidP="005A28E2">
      <w:pPr>
        <w:pStyle w:val="ppNumberList"/>
        <w:rPr>
          <w:rFonts w:eastAsia="Times New Roman"/>
          <w:lang w:val="es-ES" w:bidi="ar-SA"/>
        </w:rPr>
      </w:pPr>
      <w:r w:rsidRPr="005A28E2">
        <w:rPr>
          <w:rFonts w:ascii="Times New Roman" w:eastAsia="Arial" w:hAnsi="Times New Roman" w:cs="Times New Roman"/>
          <w:lang w:val="es-ES" w:bidi="ar-SA"/>
        </w:rPr>
        <w:t xml:space="preserve"> </w:t>
      </w:r>
      <w:r w:rsidRPr="005A28E2">
        <w:rPr>
          <w:rFonts w:eastAsia="Times New Roman"/>
          <w:i/>
          <w:lang w:val="es-ES" w:bidi="ar-SA"/>
        </w:rPr>
        <w:t>SCCM Administrator Console</w:t>
      </w:r>
      <w:r w:rsidRPr="005A28E2">
        <w:rPr>
          <w:rFonts w:eastAsia="Times New Roman"/>
          <w:lang w:val="es-ES" w:bidi="ar-SA"/>
        </w:rPr>
        <w:t>: se conecta con WMI realiza inventario de Hardware.</w:t>
      </w:r>
    </w:p>
    <w:p w:rsidR="005A28E2" w:rsidRPr="005A28E2" w:rsidRDefault="005A28E2" w:rsidP="005A28E2">
      <w:pPr>
        <w:pStyle w:val="ppNumberList"/>
        <w:rPr>
          <w:rFonts w:eastAsia="Times New Roman"/>
          <w:lang w:val="es-ES" w:bidi="ar-SA"/>
        </w:rPr>
      </w:pPr>
      <w:r w:rsidRPr="005A28E2">
        <w:rPr>
          <w:rFonts w:eastAsia="Times New Roman"/>
          <w:i/>
          <w:lang w:val="es-ES" w:bidi="ar-SA"/>
        </w:rPr>
        <w:t>Network Discovery Agent</w:t>
      </w:r>
      <w:r w:rsidRPr="005A28E2">
        <w:rPr>
          <w:rFonts w:eastAsia="Times New Roman"/>
          <w:lang w:val="es-ES" w:bidi="ar-SA"/>
        </w:rPr>
        <w:t>: Usa WMI para almacenar datos en CIM repository.</w:t>
      </w:r>
      <w:r w:rsidRPr="005A28E2">
        <w:rPr>
          <w:rFonts w:eastAsia="Times New Roman"/>
          <w:lang w:val="es-ES" w:bidi="ar-SA"/>
        </w:rPr>
        <w:br/>
        <w:t>No usa ningún provider.</w:t>
      </w:r>
    </w:p>
    <w:p w:rsidR="005A28E2" w:rsidRPr="005A28E2" w:rsidRDefault="005A28E2" w:rsidP="005A28E2">
      <w:pPr>
        <w:pStyle w:val="ppNumberList"/>
        <w:rPr>
          <w:rFonts w:eastAsia="Times New Roman"/>
          <w:lang w:val="es-ES" w:bidi="ar-SA"/>
        </w:rPr>
      </w:pPr>
      <w:r w:rsidRPr="005A28E2">
        <w:rPr>
          <w:rFonts w:eastAsia="Times New Roman"/>
          <w:i/>
          <w:lang w:val="es-ES" w:bidi="ar-SA"/>
        </w:rPr>
        <w:t>Inventario</w:t>
      </w:r>
      <w:r w:rsidRPr="005A28E2">
        <w:rPr>
          <w:rFonts w:eastAsia="Times New Roman"/>
          <w:lang w:val="es-ES" w:bidi="ar-SA"/>
        </w:rPr>
        <w:t>: Para relevar los datos del cliente.</w:t>
      </w:r>
    </w:p>
    <w:p w:rsidR="005A28E2" w:rsidRPr="005A28E2" w:rsidRDefault="005A28E2" w:rsidP="005A28E2">
      <w:pPr>
        <w:pStyle w:val="ppNumberList"/>
        <w:rPr>
          <w:rFonts w:eastAsia="Times New Roman"/>
          <w:lang w:val="es-ES" w:bidi="ar-SA"/>
        </w:rPr>
      </w:pPr>
      <w:r w:rsidRPr="005A28E2">
        <w:rPr>
          <w:rFonts w:eastAsia="Times New Roman"/>
          <w:i/>
          <w:lang w:val="es-ES" w:bidi="ar-SA"/>
        </w:rPr>
        <w:t>WSUS updates</w:t>
      </w:r>
      <w:r w:rsidRPr="005A28E2">
        <w:rPr>
          <w:rFonts w:eastAsia="Times New Roman"/>
          <w:lang w:val="es-ES" w:bidi="ar-SA"/>
        </w:rPr>
        <w:t>: Para verificar las actualizaciones instaladas.</w:t>
      </w:r>
    </w:p>
    <w:p w:rsidR="005A28E2" w:rsidRPr="005A28E2" w:rsidRDefault="005A28E2" w:rsidP="005A28E2">
      <w:pPr>
        <w:pStyle w:val="ppNumberList"/>
        <w:rPr>
          <w:rFonts w:eastAsia="Times New Roman"/>
          <w:lang w:val="es-ES" w:bidi="ar-SA"/>
        </w:rPr>
      </w:pPr>
      <w:r w:rsidRPr="005A28E2">
        <w:rPr>
          <w:rFonts w:eastAsia="Times New Roman"/>
          <w:i/>
          <w:lang w:val="es-ES" w:bidi="ar-SA"/>
        </w:rPr>
        <w:t>Configuración deseada/ForeFront Client</w:t>
      </w:r>
      <w:r w:rsidRPr="005A28E2">
        <w:rPr>
          <w:rFonts w:eastAsia="Times New Roman"/>
          <w:lang w:val="es-ES" w:bidi="ar-SA"/>
        </w:rPr>
        <w:t>: para verificar.</w:t>
      </w:r>
    </w:p>
    <w:p w:rsidR="005A28E2" w:rsidRPr="005A28E2" w:rsidRDefault="005A28E2" w:rsidP="005A28E2">
      <w:pPr>
        <w:pStyle w:val="ppListEnd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2)     Inventario de Software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Realiza el inventario del software instalado en los clientes, evaluando las clases del WMI.  Permite además recolectar archivos que se encuentran en la máquina de los clientes.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bookmarkStart w:id="1" w:name="more"/>
      <w:bookmarkEnd w:id="1"/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3)     Manejo de Licencias (Asset Intelligence)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monitorear e inventariar el uso de licencias de las aplicaciones instaladas en los clientes.  Se utiliza un catálogo con la información de licencias.</w:t>
      </w:r>
      <w:r w:rsidRPr="005A28E2">
        <w:rPr>
          <w:rFonts w:eastAsia="Times New Roman"/>
          <w:iCs/>
          <w:sz w:val="24"/>
          <w:szCs w:val="24"/>
          <w:lang w:val="es-ES" w:bidi="ar-SA"/>
        </w:rPr>
        <w:br/>
        <w:t>Ayuda a planificar el licenciamiento corporativo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 xml:space="preserve">4)     Manejo de Reportes 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Se integra con los servicios de SQL Reporting Services y trae reportes pre-configurados que extraen información de la base.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Incluye: Reportes de todas las funcionalidades, Alertas, Mensajes de status, Estado de la replicación de base.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lastRenderedPageBreak/>
        <w:t>5)     Queries (Consultas por consola)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ubicar objetos que coinciden con un determinado criterio y mostrarlo por consola.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6)     Manejo de Colecciones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  <w:r w:rsidRPr="005A28E2">
        <w:rPr>
          <w:rFonts w:eastAsia="Times New Roman"/>
          <w:lang w:val="es-ES" w:bidi="ar-SA"/>
        </w:rPr>
        <w:t>Vistas que permiten organizar los objetos que han sido descubiertos por CM.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7)     Medición de uso de Software (Software Metering)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Colecta datos del uso de aplicaciones en los clientes, basadas en reglas que se crean para tal fin.  Luego se generan reportes con la información.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8)     Administración de dispositivos Móviles: (teléfonos móviles)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ver y administrar los dispositivos móviles, implementando aplicaciones, haciendo inventario o bajando políticas de uso en conjunto con Microsoft Exchange Server.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9)     Administración fuera de Banda ( Out-of-Band Management)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Configuration Manager permite manejar computadoras con chip ser Intel vPro y maquinas Intel ATM.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Es posible prenderlas, apagarlas, configurar remotamente, etc.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10)  Control Remoto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administrar en forma remota, proveer asistencia o ver cualquier máquina cliente dentro de la jerarquía de CM.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11)  Administración de Aplicaciones (Implementación de software)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  <w:r w:rsidRPr="005A28E2">
        <w:rPr>
          <w:rFonts w:eastAsia="Times New Roman"/>
          <w:lang w:val="es-ES" w:bidi="ar-SA"/>
        </w:rPr>
        <w:t>Antes llamado implementación de Software.  En esta versión, es posible, implementar una aplicación a los usuarios, dispositivos, grupos de usuarios y/o grupos de dispositivos.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  <w:r w:rsidRPr="005A28E2">
        <w:rPr>
          <w:rFonts w:eastAsia="Times New Roman"/>
          <w:lang w:val="es-ES" w:bidi="ar-SA"/>
        </w:rPr>
        <w:t>Se puede definir “Afinidad de dispositivo”, que establece una relación entre el usuario y los dispositivos que mayormente utiliza y eso asegura que las aplicaciones siempre estén disponibles para él.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12)  Uso de Aplicaciones Virtualizadas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desplegar aplicaciones virtualizadas y realizar cualquier seguimiento tal como se hace para las aplicaciones comunes.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13)  Manejo de actualizaciones de software (software Updates)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configurar los updates de software integrándose con WSUS.  Contiene aprobación automática de parches y un mejor control de los tiempos en que correrán las actualizaciones.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14)  Despliegue de Sistemas Operativos (OSD)(Operating System Deployment)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utilizar e integrar herramientas para poder hacer upgrade de un cliente existente o implementar masivamente nuevos clientes con o sin sistema operativo.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15)  Cumplimiento de (software compliance)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6B6F5B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 xml:space="preserve">Provee una ubicación central para manejar opciones de configuración y cumplimiento de seteos, aplicaciones, entradas de registry, </w:t>
      </w:r>
      <w:r w:rsidR="00113A9A" w:rsidRPr="005A28E2">
        <w:rPr>
          <w:rFonts w:eastAsia="Times New Roman"/>
          <w:iCs/>
          <w:sz w:val="24"/>
          <w:szCs w:val="24"/>
          <w:lang w:val="es-ES" w:bidi="ar-SA"/>
        </w:rPr>
        <w:t>etc.</w:t>
      </w:r>
      <w:r w:rsidRPr="005A28E2">
        <w:rPr>
          <w:rFonts w:eastAsia="Times New Roman"/>
          <w:iCs/>
          <w:sz w:val="24"/>
          <w:szCs w:val="24"/>
          <w:lang w:val="es-ES" w:bidi="ar-SA"/>
        </w:rPr>
        <w:t>, que los servers, clientes o dispositivos móviles deben tener o no configurados o instalados.</w:t>
      </w:r>
      <w:r w:rsidRPr="005A28E2">
        <w:rPr>
          <w:rFonts w:eastAsia="Times New Roman"/>
          <w:iCs/>
          <w:sz w:val="24"/>
          <w:szCs w:val="24"/>
          <w:lang w:val="es-ES" w:bidi="ar-SA"/>
        </w:rPr>
        <w:br/>
      </w:r>
      <w:r w:rsidRPr="006B6F5B">
        <w:rPr>
          <w:rFonts w:eastAsia="Times New Roman"/>
          <w:iCs/>
          <w:sz w:val="24"/>
          <w:szCs w:val="24"/>
          <w:lang w:val="es-ES" w:bidi="ar-SA"/>
        </w:rPr>
        <w:t>Antes se llamaba Desired Configuration Management.</w:t>
      </w:r>
    </w:p>
    <w:p w:rsidR="005A28E2" w:rsidRPr="006B6F5B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16)  Wake on Lan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  <w:r w:rsidRPr="005A28E2">
        <w:rPr>
          <w:rFonts w:eastAsia="Times New Roman"/>
          <w:lang w:val="es-ES" w:bidi="ar-SA"/>
        </w:rPr>
        <w:t>Permite prender las máquinas cliente para poder implementar un update, instalar un software o instalar un sistema operativo.</w:t>
      </w:r>
    </w:p>
    <w:p w:rsidR="005A28E2" w:rsidRPr="005A28E2" w:rsidRDefault="005A28E2" w:rsidP="005A28E2">
      <w:pPr>
        <w:pStyle w:val="ppBodyText"/>
        <w:rPr>
          <w:rFonts w:eastAsia="Times New Roman"/>
          <w:sz w:val="20"/>
          <w:szCs w:val="20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17)  Protección de acceso a la red (Network Access Protection)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Integración con Windows 2008 NAP, para poder remediar situaciones de no cumplimiento de un cliente, que evitan el ingreso a la red.  Junto con software updates, convierte un cliente “no-compliant” automáticamente en “compliant”.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18)  Manejo de “energía”(power management)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iCs/>
          <w:sz w:val="24"/>
          <w:szCs w:val="24"/>
          <w:lang w:val="es-ES" w:bidi="ar-SA"/>
        </w:rPr>
        <w:t>Permite administrar en forma centralizada las características built-in de opciones de energía, como hibernación, bajo consumo de monitor, disco, etc.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Heading2"/>
        <w:rPr>
          <w:rFonts w:eastAsia="Times New Roman"/>
          <w:sz w:val="20"/>
          <w:szCs w:val="20"/>
          <w:lang w:val="es-ES" w:bidi="ar-SA"/>
        </w:rPr>
      </w:pPr>
      <w:r>
        <w:rPr>
          <w:rFonts w:eastAsia="Trebuchet MS" w:cs="Trebuchet MS"/>
          <w:lang w:val="es-ES" w:bidi="ar-SA"/>
        </w:rPr>
        <w:t>19)  System Center Endpoint Protecction</w:t>
      </w: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</w:p>
    <w:p w:rsidR="005A28E2" w:rsidRPr="005A28E2" w:rsidRDefault="005A28E2" w:rsidP="005A28E2">
      <w:pPr>
        <w:pStyle w:val="ppBodyText"/>
        <w:rPr>
          <w:rFonts w:eastAsia="Times New Roman"/>
          <w:lang w:val="es-ES" w:bidi="ar-SA"/>
        </w:rPr>
      </w:pPr>
      <w:r w:rsidRPr="005A28E2">
        <w:rPr>
          <w:rFonts w:eastAsia="Times New Roman"/>
          <w:lang w:val="es-ES" w:bidi="ar-SA"/>
        </w:rPr>
        <w:t>Permite implementar el software de antivirus de cliente y reforzar el cumplimiento del mismo desde la consola del Configuration Manager.</w:t>
      </w:r>
    </w:p>
    <w:p w:rsidR="002A635D" w:rsidRPr="005A28E2" w:rsidRDefault="002A635D" w:rsidP="005A28E2">
      <w:pPr>
        <w:pStyle w:val="ppBodyText"/>
        <w:rPr>
          <w:lang w:val="es-ES"/>
        </w:rPr>
      </w:pPr>
    </w:p>
    <w:sectPr w:rsidR="002A635D" w:rsidRPr="005A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E2"/>
    <w:rsid w:val="00113A9A"/>
    <w:rsid w:val="002A635D"/>
    <w:rsid w:val="005A28E2"/>
    <w:rsid w:val="006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37D25-A09D-438F-95B4-11944CD7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A28E2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5A28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5A28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iPriority w:val="9"/>
    <w:unhideWhenUsed/>
    <w:qFormat/>
    <w:rsid w:val="005A28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5A28E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28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5A28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A28E2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5A28E2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5A28E2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5A28E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5A28E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5A28E2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5A28E2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5A28E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5A28E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5A28E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5A28E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A28E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5A28E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5A28E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5A28E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5A28E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5A28E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5A28E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5A28E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5A28E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5A28E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5A28E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5A28E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5A28E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5A28E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5A28E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5A28E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5A28E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5A28E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5A28E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5A28E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5A28E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5A28E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5A28E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5A28E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5A28E2"/>
    <w:rPr>
      <w:color w:val="333399"/>
    </w:rPr>
  </w:style>
  <w:style w:type="table" w:customStyle="1" w:styleId="ppTableGrid">
    <w:name w:val="pp Table Grid"/>
    <w:basedOn w:val="ppTableList"/>
    <w:rsid w:val="005A28E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5A28E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5A28E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5A28E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5A28E2"/>
  </w:style>
  <w:style w:type="table" w:styleId="TableGrid">
    <w:name w:val="Table Grid"/>
    <w:basedOn w:val="TableNormal"/>
    <w:rsid w:val="005A28E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A28E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28E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A2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8E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A2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8E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5A28E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A28E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8E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5A28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E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A28E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5A28E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5A28E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5A28E2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5A28E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5A28E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5A28E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5A28E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5A28E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5A28E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5A28E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5A28E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5A28E2"/>
  </w:style>
  <w:style w:type="character" w:customStyle="1" w:styleId="BodyTextChar">
    <w:name w:val="Body Text Char"/>
    <w:basedOn w:val="DefaultParagraphFont"/>
    <w:link w:val="BodyText"/>
    <w:semiHidden/>
    <w:rsid w:val="005A28E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5A28E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5A28E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5A28E2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5A28E2"/>
    <w:rPr>
      <w:strike w:val="0"/>
      <w:dstrike w:val="0"/>
      <w:color w:val="88888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B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7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8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4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74556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56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81142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222222"/>
                                                                    <w:left w:val="single" w:sz="6" w:space="11" w:color="222222"/>
                                                                    <w:bottom w:val="single" w:sz="6" w:space="0" w:color="222222"/>
                                                                    <w:right w:val="single" w:sz="6" w:space="11" w:color="222222"/>
                                                                  </w:divBdr>
                                                                  <w:divsChild>
                                                                    <w:div w:id="18483265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606074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222222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37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39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76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912049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78038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458654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974550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498849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88204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290608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677805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878830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0233500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17779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51422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690087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129488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74708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481305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611635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395042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3262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5750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101532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564506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797757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493992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4691345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516610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9302314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29519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086096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362016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723877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04807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977755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108391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01074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054887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54019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287703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104310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316097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552641">
                                                                                      <w:marLeft w:val="425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9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5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7506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73612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222222"/>
                                                                    <w:left w:val="single" w:sz="6" w:space="11" w:color="222222"/>
                                                                    <w:bottom w:val="single" w:sz="6" w:space="0" w:color="222222"/>
                                                                    <w:right w:val="single" w:sz="6" w:space="11" w:color="222222"/>
                                                                  </w:divBdr>
                                                                  <w:divsChild>
                                                                    <w:div w:id="91502090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640914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222222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741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97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04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194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47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770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785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587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148247">
                                                                                      <w:marLeft w:val="0"/>
                                                                                      <w:marRight w:val="-180"/>
                                                                                      <w:marTop w:val="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900209">
                                                                                      <w:marLeft w:val="0"/>
                                                                                      <w:marRight w:val="-180"/>
                                                                                      <w:marTop w:val="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068435">
                                                                                      <w:marLeft w:val="0"/>
                                                                                      <w:marRight w:val="-180"/>
                                                                                      <w:marTop w:val="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101498">
                                                                                      <w:marLeft w:val="714"/>
                                                                                      <w:marRight w:val="-72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875765">
                                                                                      <w:marLeft w:val="714"/>
                                                                                      <w:marRight w:val="-720"/>
                                                                                      <w:marTop w:val="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8845292">
                                                                                      <w:marLeft w:val="714"/>
                                                                                      <w:marRight w:val="-720"/>
                                                                                      <w:marTop w:val="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286099">
                                                                                      <w:marLeft w:val="714"/>
                                                                                      <w:marRight w:val="-720"/>
                                                                                      <w:marTop w:val="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665257">
                                                                                      <w:marLeft w:val="714"/>
                                                                                      <w:marRight w:val="-720"/>
                                                                                      <w:marTop w:val="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ttechnologysite.blogspot.com.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us.google.com/102022832380927697290/posts/p/pu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BEEF-1800-4BE5-81C3-62D2216D1E40}"/>
      </w:docPartPr>
      <w:docPartBody>
        <w:p w:rsidR="00360172" w:rsidRDefault="007248E3">
          <w:r w:rsidRPr="005769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E3"/>
    <w:rsid w:val="00360172"/>
    <w:rsid w:val="007248E3"/>
    <w:rsid w:val="007735D4"/>
    <w:rsid w:val="0085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8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1 0 7 d e 6 c e - 9 c f 1 - 4 e b 5 - 8 2 d 7 - a a a 0 f 5 8 1 2 b d 0 "   t i t l e = " F u n c i o n a l i d a d e s   d e   C M   2 0 1 2 "   s t y l e = " T o p i c " / >  
 < / t o c > 
</file>

<file path=customXml/itemProps1.xml><?xml version="1.0" encoding="utf-8"?>
<ds:datastoreItem xmlns:ds="http://schemas.openxmlformats.org/officeDocument/2006/customXml" ds:itemID="{4ACAA475-1EDA-4267-BBD1-42E4A6BDE10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7</TotalTime>
  <Pages>1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4</cp:revision>
  <dcterms:created xsi:type="dcterms:W3CDTF">2013-09-25T14:47:00Z</dcterms:created>
  <dcterms:modified xsi:type="dcterms:W3CDTF">2013-09-25T14:54:00Z</dcterms:modified>
</cp:coreProperties>
</file>