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83" w:rsidRDefault="001C7A83"/>
    <w:sdt>
      <w:sdtPr>
        <w:rPr>
          <w:lang w:val="es-ES"/>
        </w:rPr>
        <w:alias w:val="Topic"/>
        <w:tag w:val="88b21845-9c30-41c8-8f87-0b41c87b08cd"/>
        <w:id w:val="-338390933"/>
        <w:placeholder>
          <w:docPart w:val="DefaultPlaceholder_1081868574"/>
        </w:placeholder>
        <w:text/>
      </w:sdtPr>
      <w:sdtContent>
        <w:p w:rsidR="001C7A83" w:rsidRPr="006D5CE0" w:rsidRDefault="002F188F" w:rsidP="007C2CF1">
          <w:pPr>
            <w:pStyle w:val="ppTopic"/>
            <w:rPr>
              <w:lang w:val="es-ES"/>
            </w:rPr>
          </w:pPr>
          <w:r w:rsidRPr="002F188F">
            <w:rPr>
              <w:lang w:val="es-ES"/>
            </w:rPr>
            <w:t>Migración del Group Policy Object</w:t>
          </w:r>
        </w:p>
      </w:sdtContent>
    </w:sdt>
    <w:p w:rsidR="006D5CE0" w:rsidRDefault="006D5CE0" w:rsidP="006D5CE0">
      <w:pPr>
        <w:pStyle w:val="ppBodyText"/>
        <w:rPr>
          <w:rFonts w:eastAsia="Times New Roman"/>
          <w:lang w:val="es-ES" w:bidi="ar-SA"/>
        </w:rPr>
      </w:pPr>
      <w:r>
        <w:rPr>
          <w:lang w:val="es-ES"/>
        </w:rPr>
        <w:t xml:space="preserve">Por </w:t>
      </w:r>
      <w:hyperlink r:id="rId6" w:history="1">
        <w:r>
          <w:rPr>
            <w:rStyle w:val="Hyperlink"/>
            <w:lang w:val="es-ES"/>
          </w:rPr>
          <w:t>Juan José Diaz Antuña</w:t>
        </w:r>
      </w:hyperlink>
      <w:r>
        <w:rPr>
          <w:lang w:val="es-ES"/>
        </w:rPr>
        <w:t xml:space="preserve">, </w:t>
      </w:r>
      <w:hyperlink r:id="rId7" w:history="1">
        <w:r w:rsidRPr="00234102">
          <w:rPr>
            <w:rStyle w:val="Hyperlink"/>
            <w:lang w:val="es-ES"/>
          </w:rPr>
          <w:t>@diazantuna </w:t>
        </w:r>
      </w:hyperlink>
    </w:p>
    <w:p w:rsidR="006D5CE0" w:rsidRPr="006D5CE0" w:rsidRDefault="006D5CE0" w:rsidP="006D5CE0">
      <w:pPr>
        <w:pStyle w:val="ppBodyText"/>
      </w:pPr>
      <w:r w:rsidRPr="006D5CE0">
        <w:t xml:space="preserve">Microsoft MVP </w:t>
      </w:r>
    </w:p>
    <w:p w:rsidR="006D5CE0" w:rsidRPr="006D5CE0" w:rsidRDefault="006D5CE0" w:rsidP="006D5CE0">
      <w:pPr>
        <w:pStyle w:val="ppBodyText"/>
      </w:pPr>
      <w:r w:rsidRPr="006D5CE0">
        <w:t>Windows Expert-IT Pro</w:t>
      </w:r>
    </w:p>
    <w:p w:rsidR="007C2CF1" w:rsidRDefault="007C2CF1" w:rsidP="006D5CE0">
      <w:pPr>
        <w:pStyle w:val="ppBodyText"/>
      </w:pPr>
    </w:p>
    <w:p w:rsidR="007C2CF1" w:rsidRPr="007C2CF1" w:rsidRDefault="007C2CF1" w:rsidP="006D5CE0">
      <w:pPr>
        <w:pStyle w:val="ppBodyText"/>
      </w:pPr>
    </w:p>
    <w:p w:rsidR="00AC388B" w:rsidRPr="007C2CF1" w:rsidRDefault="001B64C5" w:rsidP="007C2CF1">
      <w:pPr>
        <w:pStyle w:val="ppBodyText"/>
        <w:rPr>
          <w:lang w:val="es-ES"/>
        </w:rPr>
      </w:pPr>
      <w:r w:rsidRPr="007C2CF1">
        <w:rPr>
          <w:lang w:val="es-ES"/>
        </w:rPr>
        <w:t>En este artículo vamos</w:t>
      </w:r>
      <w:r w:rsidR="00671C99" w:rsidRPr="007C2CF1">
        <w:rPr>
          <w:lang w:val="es-ES"/>
        </w:rPr>
        <w:t xml:space="preserve"> </w:t>
      </w:r>
      <w:r w:rsidRPr="007C2CF1">
        <w:rPr>
          <w:lang w:val="es-ES"/>
        </w:rPr>
        <w:t xml:space="preserve">a ver </w:t>
      </w:r>
      <w:r w:rsidR="00671C99" w:rsidRPr="007C2CF1">
        <w:rPr>
          <w:lang w:val="es-ES"/>
        </w:rPr>
        <w:t>cómo llevar GPO’s de un dominio de pruebas a un dominio de producción</w:t>
      </w:r>
      <w:r w:rsidRPr="007C2CF1">
        <w:rPr>
          <w:lang w:val="es-ES"/>
        </w:rPr>
        <w:t>, o como migrar GPO´s de un dominio a otro</w:t>
      </w:r>
      <w:r w:rsidR="00174EE5" w:rsidRPr="007C2CF1">
        <w:rPr>
          <w:lang w:val="es-ES"/>
        </w:rPr>
        <w:t>. Esta operación es bastante habitual, ya que normalmente probamos las configuraciones (settings) de nuestras GPO’s previamente.</w:t>
      </w:r>
    </w:p>
    <w:p w:rsidR="00671C99" w:rsidRPr="007C2CF1" w:rsidRDefault="00671C99" w:rsidP="007C2CF1">
      <w:pPr>
        <w:pStyle w:val="ppBodyText"/>
        <w:rPr>
          <w:lang w:val="es-ES"/>
        </w:rPr>
      </w:pPr>
      <w:r w:rsidRPr="007C2CF1">
        <w:rPr>
          <w:lang w:val="es-ES"/>
        </w:rPr>
        <w:t>Vamos a ver un paso a paso de cómo hacerlo.</w:t>
      </w:r>
      <w:r w:rsidR="009819F7" w:rsidRPr="007C2CF1">
        <w:rPr>
          <w:lang w:val="es-ES"/>
        </w:rPr>
        <w:t xml:space="preserve"> Para ello solo voy a utilizar la consola de Administración de Directivas de Grupo o GPMC. En mi laboratorio tengo dos dominios con un controlador cada uno de ellos.</w:t>
      </w:r>
    </w:p>
    <w:p w:rsidR="009819F7" w:rsidRPr="007C2CF1" w:rsidRDefault="007C2CF1" w:rsidP="007C2CF1">
      <w:pPr>
        <w:pStyle w:val="Heading2"/>
        <w:rPr>
          <w:lang w:val="es-ES"/>
        </w:rPr>
      </w:pPr>
      <w:r>
        <w:rPr>
          <w:lang w:val="es-ES"/>
        </w:rPr>
        <w:t>Dominio origen – Controlador de dominio Origen</w:t>
      </w:r>
    </w:p>
    <w:p w:rsidR="00671C99" w:rsidRPr="007C2CF1" w:rsidRDefault="00671C99" w:rsidP="007C2CF1">
      <w:pPr>
        <w:pStyle w:val="ppBodyText"/>
        <w:rPr>
          <w:lang w:val="es-ES"/>
        </w:rPr>
      </w:pPr>
      <w:r w:rsidRPr="007C2CF1">
        <w:rPr>
          <w:lang w:val="es-ES"/>
        </w:rPr>
        <w:t xml:space="preserve">Lo primero que hacemos es un backup de las GPO’s a migrar en un controlador de dominio </w:t>
      </w:r>
      <w:r w:rsidR="00EF3428" w:rsidRPr="007C2CF1">
        <w:rPr>
          <w:lang w:val="es-ES"/>
        </w:rPr>
        <w:t>del</w:t>
      </w:r>
      <w:r w:rsidRPr="007C2CF1">
        <w:rPr>
          <w:lang w:val="es-ES"/>
        </w:rPr>
        <w:t xml:space="preserve"> dominio origen</w:t>
      </w:r>
      <w:r w:rsidR="00EF3428" w:rsidRPr="007C2CF1">
        <w:rPr>
          <w:lang w:val="es-ES"/>
        </w:rPr>
        <w:t>.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4923809" cy="3409524"/>
            <wp:effectExtent l="0" t="0" r="0" b="63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28" w:rsidRPr="00234102" w:rsidRDefault="00EF3428" w:rsidP="007C2CF1">
      <w:pPr>
        <w:pStyle w:val="ppBodyText"/>
        <w:rPr>
          <w:lang w:val="es-ES"/>
        </w:rPr>
      </w:pPr>
      <w:r w:rsidRPr="007C2CF1">
        <w:rPr>
          <w:lang w:val="es-ES"/>
        </w:rPr>
        <w:t>Esto lo que hace es una copia de todas las directivas de SYSVOL, o lo que es lo mismo</w:t>
      </w:r>
      <w:r w:rsidR="009819F7" w:rsidRPr="007C2CF1">
        <w:rPr>
          <w:lang w:val="es-ES"/>
        </w:rPr>
        <w:t>,</w:t>
      </w:r>
      <w:r w:rsidRPr="007C2CF1">
        <w:rPr>
          <w:lang w:val="es-ES"/>
        </w:rPr>
        <w:t xml:space="preserve"> de mi dominio. </w:t>
      </w:r>
      <w:r w:rsidRPr="00234102">
        <w:rPr>
          <w:lang w:val="es-ES"/>
        </w:rPr>
        <w:t>Indico el path donde dejar la copia.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4619048" cy="4114286"/>
            <wp:effectExtent l="0" t="0" r="0" b="63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28" w:rsidRDefault="00EF3428" w:rsidP="007C2CF1">
      <w:pPr>
        <w:pStyle w:val="ppBodyText"/>
      </w:pPr>
      <w:r>
        <w:t>Progreso del backup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276190" cy="4323809"/>
            <wp:effectExtent l="0" t="0" r="1270" b="63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5276190" cy="4342857"/>
            <wp:effectExtent l="0" t="0" r="1270" b="63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28" w:rsidRPr="007C2CF1" w:rsidRDefault="00EF3428" w:rsidP="007C2CF1">
      <w:pPr>
        <w:pStyle w:val="ppBodyText"/>
        <w:rPr>
          <w:lang w:val="es-ES"/>
        </w:rPr>
      </w:pPr>
      <w:r w:rsidRPr="007C2CF1">
        <w:rPr>
          <w:lang w:val="es-ES"/>
        </w:rPr>
        <w:t>Compruebo que el backup se ha hecho en la ubicación indicada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400040" cy="1729740"/>
            <wp:effectExtent l="0" t="0" r="0" b="381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28" w:rsidRPr="007C2CF1" w:rsidRDefault="00EF3428" w:rsidP="007C2CF1">
      <w:pPr>
        <w:pStyle w:val="ppBodyText"/>
        <w:rPr>
          <w:lang w:val="es-ES"/>
        </w:rPr>
      </w:pPr>
      <w:r w:rsidRPr="007C2CF1">
        <w:rPr>
          <w:lang w:val="es-ES"/>
        </w:rPr>
        <w:t>Una vez hecho el backup debo de ir al dominio de destino, a uno de sus controladores de dominio y acceder a la consola de GPMC</w:t>
      </w:r>
    </w:p>
    <w:p w:rsidR="00EF3428" w:rsidRPr="007C2CF1" w:rsidRDefault="00F515EF" w:rsidP="007C2CF1">
      <w:pPr>
        <w:pStyle w:val="ppBodyText"/>
        <w:rPr>
          <w:lang w:val="es-ES"/>
        </w:rPr>
      </w:pPr>
      <w:r w:rsidRPr="007C2CF1">
        <w:rPr>
          <w:lang w:val="es-ES"/>
        </w:rPr>
        <w:t>En el menú Action, selecciono Open Migration Table Editor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3057143" cy="3704762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EF" w:rsidRPr="007C2CF1" w:rsidRDefault="00F515EF" w:rsidP="007C2CF1">
      <w:pPr>
        <w:pStyle w:val="ppBodyText"/>
        <w:rPr>
          <w:lang w:val="es-ES"/>
        </w:rPr>
      </w:pPr>
      <w:r w:rsidRPr="007C2CF1">
        <w:rPr>
          <w:lang w:val="es-ES"/>
        </w:rPr>
        <w:t>En la ventana de Migration Table Editor, en el menú selecciono Tools y dentro Populate from Backup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400040" cy="1635125"/>
            <wp:effectExtent l="0" t="0" r="0" b="317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EF" w:rsidRPr="007C2CF1" w:rsidRDefault="00F515EF" w:rsidP="007C2CF1">
      <w:pPr>
        <w:pStyle w:val="ppBodyText"/>
        <w:rPr>
          <w:lang w:val="es-ES"/>
        </w:rPr>
      </w:pPr>
      <w:r w:rsidRPr="007C2CF1">
        <w:rPr>
          <w:lang w:val="es-ES"/>
        </w:rPr>
        <w:t>Busco en la ubicación donde he dejado el backup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5400040" cy="4758055"/>
            <wp:effectExtent l="0" t="0" r="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EF" w:rsidRPr="007C2CF1" w:rsidRDefault="00F515EF" w:rsidP="007C2CF1">
      <w:pPr>
        <w:pStyle w:val="ppBodyText"/>
        <w:rPr>
          <w:lang w:val="es-ES"/>
        </w:rPr>
      </w:pPr>
      <w:r w:rsidRPr="007C2CF1">
        <w:rPr>
          <w:lang w:val="es-ES"/>
        </w:rPr>
        <w:t>Se nos muestra objetos principales específicos del dominio de origen y que deberíamos de cambiar y sustituirlos por los del</w:t>
      </w:r>
      <w:r w:rsidR="0028559A" w:rsidRPr="007C2CF1">
        <w:rPr>
          <w:lang w:val="es-ES"/>
        </w:rPr>
        <w:t xml:space="preserve"> dominio de destino.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400040" cy="32385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9A" w:rsidRPr="007C2CF1" w:rsidRDefault="0028559A" w:rsidP="007C2CF1">
      <w:pPr>
        <w:pStyle w:val="ppBodyText"/>
        <w:rPr>
          <w:lang w:val="es-ES"/>
        </w:rPr>
      </w:pPr>
      <w:r w:rsidRPr="007C2CF1">
        <w:rPr>
          <w:lang w:val="es-ES"/>
        </w:rPr>
        <w:lastRenderedPageBreak/>
        <w:t>Para hacerlo hago botón derecho sobre el objeto de origen y selecciono Browse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400040" cy="2735580"/>
            <wp:effectExtent l="0" t="0" r="0" b="762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4563112" cy="2505425"/>
            <wp:effectExtent l="0" t="0" r="8890" b="952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9A" w:rsidRDefault="0028559A" w:rsidP="007C2CF1">
      <w:pPr>
        <w:pStyle w:val="ppBodyText"/>
      </w:pPr>
      <w:r w:rsidRPr="007C2CF1">
        <w:rPr>
          <w:lang w:val="es-ES"/>
        </w:rPr>
        <w:t xml:space="preserve">Una vez encontrados todos los objetos y sustituirlos por los del dominio de destino debo de guardar la tabla de migración. </w:t>
      </w:r>
      <w:r>
        <w:t>Para ello voy a File – Save As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3419952" cy="2152950"/>
            <wp:effectExtent l="0" t="0" r="952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5400040" cy="4147820"/>
            <wp:effectExtent l="0" t="0" r="0" b="508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9A" w:rsidRDefault="0028559A" w:rsidP="007C2CF1">
      <w:pPr>
        <w:pStyle w:val="ppBodyText"/>
      </w:pPr>
      <w:r w:rsidRPr="007C2CF1">
        <w:rPr>
          <w:lang w:val="es-ES"/>
        </w:rPr>
        <w:t xml:space="preserve">Una vez guardada la tabla debo de recrear las GPO en el dominio de destino. </w:t>
      </w:r>
      <w:r>
        <w:t>Para ello voy a Group Policy Objects y selección New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4982270" cy="2324424"/>
            <wp:effectExtent l="0" t="0" r="889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9A" w:rsidRDefault="0028559A" w:rsidP="007C2CF1">
      <w:pPr>
        <w:pStyle w:val="ppBodyText"/>
      </w:pPr>
      <w:r>
        <w:t>Y creo una GPO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3990476" cy="1886213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9A" w:rsidRPr="007C2CF1" w:rsidRDefault="0028559A" w:rsidP="007C2CF1">
      <w:pPr>
        <w:pStyle w:val="ppBodyText"/>
        <w:rPr>
          <w:lang w:val="es-ES"/>
        </w:rPr>
      </w:pPr>
      <w:r w:rsidRPr="007C2CF1">
        <w:rPr>
          <w:lang w:val="es-ES"/>
        </w:rPr>
        <w:t>Ahora vamos a importar los Settings. Para ello hago botón derecho sobre la GPO y selección Import Settings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4896533" cy="2534004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5" w:rsidRDefault="001B64C5" w:rsidP="007C2CF1">
      <w:pPr>
        <w:pStyle w:val="ppBodyText"/>
      </w:pPr>
      <w:r>
        <w:t>Se nos muestra el asistente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4944165" cy="3866667"/>
            <wp:effectExtent l="0" t="0" r="8890" b="63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5" w:rsidRPr="007C2CF1" w:rsidRDefault="001B64C5" w:rsidP="007C2CF1">
      <w:pPr>
        <w:pStyle w:val="ppBodyText"/>
        <w:rPr>
          <w:lang w:val="es-ES"/>
        </w:rPr>
      </w:pPr>
      <w:r w:rsidRPr="007C2CF1">
        <w:rPr>
          <w:lang w:val="es-ES"/>
        </w:rPr>
        <w:t>Puedo hacer un backup previo de la GPO antes de importar los nuevos settings. En nuestro caso la GPO no tiene nada configurado con lo que no voy a hacer el backup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076190" cy="391428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5" w:rsidRDefault="001B64C5" w:rsidP="007C2CF1">
      <w:pPr>
        <w:pStyle w:val="ppBodyText"/>
      </w:pPr>
      <w:r>
        <w:t xml:space="preserve">Busco el directorio del backup 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4971429" cy="3877216"/>
            <wp:effectExtent l="0" t="0" r="635" b="952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5" w:rsidRDefault="001B64C5" w:rsidP="007C2CF1">
      <w:pPr>
        <w:pStyle w:val="ppBodyText"/>
      </w:pPr>
      <w:r>
        <w:t>Selecciono la directiva del backup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4982270" cy="3895238"/>
            <wp:effectExtent l="0" t="0" r="889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9A" w:rsidRPr="007C2CF1" w:rsidRDefault="001B64C5" w:rsidP="007C2CF1">
      <w:pPr>
        <w:pStyle w:val="ppBodyText"/>
        <w:rPr>
          <w:lang w:val="es-ES"/>
        </w:rPr>
      </w:pPr>
      <w:r w:rsidRPr="007C2CF1">
        <w:rPr>
          <w:lang w:val="es-ES"/>
        </w:rPr>
        <w:t>Ahora selecciono la tabla de migración que cree antes</w:t>
      </w:r>
    </w:p>
    <w:p w:rsidR="00234102" w:rsidRPr="00234102" w:rsidRDefault="00234102" w:rsidP="00234102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>
            <wp:extent cx="4877481" cy="3801005"/>
            <wp:effectExtent l="0" t="0" r="0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5" w:rsidRDefault="001B64C5" w:rsidP="007C2CF1">
      <w:pPr>
        <w:pStyle w:val="ppBodyText"/>
        <w:rPr>
          <w:noProof/>
          <w:lang w:eastAsia="es-ES"/>
        </w:rPr>
      </w:pPr>
      <w:r>
        <w:rPr>
          <w:noProof/>
          <w:lang w:eastAsia="es-ES"/>
        </w:rPr>
        <w:t>Y finalizo</w:t>
      </w:r>
    </w:p>
    <w:p w:rsidR="00234102" w:rsidRDefault="00234102" w:rsidP="00234102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4885714" cy="3809524"/>
            <wp:effectExtent l="0" t="0" r="0" b="63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02" w:rsidRPr="00234102" w:rsidRDefault="00234102" w:rsidP="00234102">
      <w:pPr>
        <w:pStyle w:val="ppBodyText"/>
      </w:pPr>
    </w:p>
    <w:sectPr w:rsidR="00234102" w:rsidRPr="0023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6DA3ACA"/>
    <w:multiLevelType w:val="hybridMultilevel"/>
    <w:tmpl w:val="DA300DEE"/>
    <w:lvl w:ilvl="0" w:tplc="F1EED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3"/>
  </w:num>
  <w:num w:numId="6">
    <w:abstractNumId w:val="8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99"/>
    <w:rsid w:val="00174EE5"/>
    <w:rsid w:val="001B64C5"/>
    <w:rsid w:val="001C7A83"/>
    <w:rsid w:val="00234102"/>
    <w:rsid w:val="0028559A"/>
    <w:rsid w:val="00290561"/>
    <w:rsid w:val="002F188F"/>
    <w:rsid w:val="00671C99"/>
    <w:rsid w:val="006D5CE0"/>
    <w:rsid w:val="007C2CF1"/>
    <w:rsid w:val="009819F7"/>
    <w:rsid w:val="009867B2"/>
    <w:rsid w:val="00EF3428"/>
    <w:rsid w:val="00F5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F7F5-24BF-450E-AE77-08C1DBB2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C7A83"/>
    <w:pPr>
      <w:spacing w:after="12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1C7A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1C7A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1C7A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1C7A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7A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1C7A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1C7A83"/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1C7A83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customStyle="1" w:styleId="ppBodyText">
    <w:name w:val="pp Body Text"/>
    <w:qFormat/>
    <w:rsid w:val="001C7A83"/>
    <w:pPr>
      <w:spacing w:after="120" w:line="276" w:lineRule="auto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1C7A8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1C7A8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C7A83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1C7A83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1C7A8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1C7A8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1C7A83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1C7A8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C7A83"/>
    <w:pPr>
      <w:numPr>
        <w:ilvl w:val="1"/>
        <w:numId w:val="5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1C7A8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C7A8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1C7A83"/>
    <w:pPr>
      <w:keepNext/>
      <w:numPr>
        <w:ilvl w:val="1"/>
        <w:numId w:val="6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1C7A8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1C7A8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1C7A83"/>
    <w:pPr>
      <w:numPr>
        <w:ilvl w:val="1"/>
        <w:numId w:val="8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1C7A83"/>
    <w:pPr>
      <w:numPr>
        <w:ilvl w:val="1"/>
        <w:numId w:val="7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1C7A8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1C7A8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1C7A8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C7A8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1C7A83"/>
    <w:pPr>
      <w:numPr>
        <w:ilvl w:val="1"/>
        <w:numId w:val="9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1C7A8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1C7A8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C7A83"/>
    <w:pPr>
      <w:numPr>
        <w:ilvl w:val="1"/>
        <w:numId w:val="11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1C7A8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1C7A83"/>
    <w:pPr>
      <w:numPr>
        <w:ilvl w:val="1"/>
        <w:numId w:val="10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1C7A83"/>
    <w:pPr>
      <w:numPr>
        <w:ilvl w:val="0"/>
        <w:numId w:val="21"/>
      </w:numPr>
      <w:ind w:left="426" w:hanging="284"/>
    </w:pPr>
  </w:style>
  <w:style w:type="paragraph" w:customStyle="1" w:styleId="ppNoteIndent">
    <w:name w:val="pp Note Indent"/>
    <w:basedOn w:val="ppNote"/>
    <w:rsid w:val="001C7A8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1C7A8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1C7A8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1C7A8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1C7A8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1C7A83"/>
    <w:rPr>
      <w:color w:val="333399"/>
    </w:rPr>
  </w:style>
  <w:style w:type="table" w:customStyle="1" w:styleId="ppTableGrid">
    <w:name w:val="pp Table Grid"/>
    <w:basedOn w:val="ppTableList"/>
    <w:rsid w:val="001C7A8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1C7A8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1C7A8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1C7A8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1C7A83"/>
  </w:style>
  <w:style w:type="table" w:styleId="TableGrid">
    <w:name w:val="Table Grid"/>
    <w:basedOn w:val="TableNormal"/>
    <w:rsid w:val="001C7A8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C7A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7A83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C7A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A83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C7A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A83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1C7A83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C7A8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A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1C7A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83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C7A8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1C7A83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1C7A8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C7A83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1C7A8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C7A8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1C7A8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1C7A8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C7A8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1C7A8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1C7A8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1C7A8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1C7A83"/>
  </w:style>
  <w:style w:type="character" w:customStyle="1" w:styleId="BodyTextChar">
    <w:name w:val="Body Text Char"/>
    <w:basedOn w:val="DefaultParagraphFont"/>
    <w:link w:val="BodyText"/>
    <w:semiHidden/>
    <w:rsid w:val="001C7A83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1C7A8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1C7A8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1C7A83"/>
    <w:pPr>
      <w:ind w:left="2580"/>
    </w:pPr>
  </w:style>
  <w:style w:type="paragraph" w:styleId="NormalWeb">
    <w:name w:val="Normal (Web)"/>
    <w:basedOn w:val="Normal"/>
    <w:uiPriority w:val="99"/>
    <w:semiHidden/>
    <w:unhideWhenUsed/>
    <w:rsid w:val="006D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6D5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0142">
                  <w:marLeft w:val="46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andygon\Desktop\GPO%20Migracion\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file:///C:\Users\andygon\Desktop\GPO%20Migracion\16.png" TargetMode="External"/><Relationship Id="rId3" Type="http://schemas.openxmlformats.org/officeDocument/2006/relationships/styles" Target="styles.xml"/><Relationship Id="rId21" Type="http://schemas.openxmlformats.org/officeDocument/2006/relationships/image" Target="file:///C:\Users\andygon\Desktop\GPO%20Migracion\7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file:///C:\Users\andygon\Desktop\GPO%20Migracion\20.png" TargetMode="External"/><Relationship Id="rId50" Type="http://schemas.openxmlformats.org/officeDocument/2006/relationships/image" Target="media/image22.png"/><Relationship Id="rId7" Type="http://schemas.openxmlformats.org/officeDocument/2006/relationships/hyperlink" Target="https://twitter.com/diazantunahttps:/twitter.com/diazantuna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C:\Users\andygon\Desktop\GPO%20Migracion\5.png" TargetMode="External"/><Relationship Id="rId25" Type="http://schemas.openxmlformats.org/officeDocument/2006/relationships/image" Target="file:///C:\Users\andygon\Desktop\GPO%20Migracion\9.png" TargetMode="External"/><Relationship Id="rId33" Type="http://schemas.openxmlformats.org/officeDocument/2006/relationships/image" Target="file:///C:\Users\andygon\Desktop\GPO%20Migracion\13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file:///C:\Users\andygon\Desktop\GPO%20Migracion\11.png" TargetMode="External"/><Relationship Id="rId41" Type="http://schemas.openxmlformats.org/officeDocument/2006/relationships/image" Target="file:///C:\Users\andygon\Desktop\GPO%20Migracion\17.png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Juan%20Jose%20Diaz%20Antu%c3%b1a-5000260" TargetMode="External"/><Relationship Id="rId11" Type="http://schemas.openxmlformats.org/officeDocument/2006/relationships/image" Target="file:///C:\Users\andygon\Desktop\GPO%20Migracion\2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file:///C:\Users\andygon\Desktop\GPO%20Migracion\15.png" TargetMode="External"/><Relationship Id="rId40" Type="http://schemas.openxmlformats.org/officeDocument/2006/relationships/image" Target="media/image17.png"/><Relationship Id="rId45" Type="http://schemas.openxmlformats.org/officeDocument/2006/relationships/image" Target="file:///C:\Users\andygon\Desktop\GPO%20Migracion\19.png" TargetMode="Externa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file:///C:\Users\andygon\Desktop\GPO%20Migracion\4.png" TargetMode="External"/><Relationship Id="rId23" Type="http://schemas.openxmlformats.org/officeDocument/2006/relationships/image" Target="file:///C:\Users\andygon\Desktop\GPO%20Migracion\8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file:///C:\Users\andygon\Desktop\GPO%20Migracion\21.png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C:\Users\andygon\Desktop\GPO%20Migracion\6.png" TargetMode="External"/><Relationship Id="rId31" Type="http://schemas.openxmlformats.org/officeDocument/2006/relationships/image" Target="file:///C:\Users\andygon\Desktop\GPO%20Migracion\12.png" TargetMode="Externa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andygon\Desktop\GPO%20Migracion\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andygon\Desktop\GPO%20Migracion\10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C:\Users\andygon\Desktop\GPO%20Migracion\14.png" TargetMode="External"/><Relationship Id="rId43" Type="http://schemas.openxmlformats.org/officeDocument/2006/relationships/image" Target="file:///C:\Users\andygon\Desktop\GPO%20Migracion\18.png" TargetMode="Externa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file:///C:\Users\andygon\Desktop\GPO%20Migracion\22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3C1A0-5DF5-4B63-A89A-D0375E1C523B}"/>
      </w:docPartPr>
      <w:docPartBody>
        <w:p w:rsidR="00A15CF7" w:rsidRDefault="00CD0CCB">
          <w:r w:rsidRPr="003B6A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CB"/>
    <w:rsid w:val="001954FA"/>
    <w:rsid w:val="00325EC3"/>
    <w:rsid w:val="009A6C22"/>
    <w:rsid w:val="00A15CF7"/>
    <w:rsid w:val="00B44762"/>
    <w:rsid w:val="00C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C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8 8 b 2 1 8 4 5 - 9 c 3 0 - 4 1 c 8 - 8 f 8 7 - 0 b 4 1 c 8 7 b 0 8 c d "   t i t l e = " G r o u p   P o l i c y   O b j e c t   -   M i g r a c i � n "   s t y l e = " T o p i c " / >  
 < / t o c > 
</file>

<file path=customXml/itemProps1.xml><?xml version="1.0" encoding="utf-8"?>
<ds:datastoreItem xmlns:ds="http://schemas.openxmlformats.org/officeDocument/2006/customXml" ds:itemID="{04E2834C-F4D0-462E-A89E-74E08F197B8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75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Diaz Antuña</dc:creator>
  <cp:keywords/>
  <dc:description/>
  <cp:lastModifiedBy>Andy Gonzalez</cp:lastModifiedBy>
  <cp:revision>9</cp:revision>
  <dcterms:created xsi:type="dcterms:W3CDTF">2014-06-26T09:34:00Z</dcterms:created>
  <dcterms:modified xsi:type="dcterms:W3CDTF">2014-06-30T18:28:00Z</dcterms:modified>
</cp:coreProperties>
</file>