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opic"/>
        <w:tag w:val="4bc6ebd7-b010-43df-a80f-46f0f2114384"/>
        <w:id w:val="1252847507"/>
        <w:placeholder>
          <w:docPart w:val="DefaultPlaceholder_1081868574"/>
        </w:placeholder>
        <w:text/>
      </w:sdtPr>
      <w:sdtEndPr/>
      <w:sdtContent>
        <w:p w:rsidR="00885766" w:rsidRPr="00AD0B6C" w:rsidRDefault="00885766" w:rsidP="00885766">
          <w:pPr>
            <w:pStyle w:val="ppTopic"/>
          </w:pPr>
          <w:r w:rsidRPr="00AD0B6C">
            <w:t>Roles de Site System en CM 2012</w:t>
          </w:r>
        </w:p>
      </w:sdtContent>
    </w:sdt>
    <w:p w:rsidR="00AD0B6C" w:rsidRDefault="00D67C97" w:rsidP="00F47DB5">
      <w:pPr>
        <w:pStyle w:val="ppBodyText"/>
        <w:rPr>
          <w:rFonts w:eastAsia="Times New Roman"/>
          <w:lang w:bidi="ar-SA"/>
        </w:rPr>
      </w:pPr>
      <w:hyperlink r:id="rId6" w:history="1">
        <w:r w:rsidR="00AD0B6C">
          <w:rPr>
            <w:rStyle w:val="Hyperlink"/>
          </w:rPr>
          <w:t xml:space="preserve">Marcela Berri </w:t>
        </w:r>
        <w:r w:rsidR="00AD0B6C">
          <w:rPr>
            <w:color w:val="0000FF"/>
            <w:u w:val="single"/>
          </w:rPr>
          <w:br/>
        </w:r>
      </w:hyperlink>
      <w:r w:rsidR="00AD0B6C">
        <w:t>Instructor / Consultor Senior IT</w:t>
      </w:r>
      <w:r w:rsidR="00AD0B6C">
        <w:br/>
        <w:t>MCT – MVP Configuration Manager</w:t>
      </w:r>
    </w:p>
    <w:p w:rsidR="00AD0B6C" w:rsidRDefault="00AD0B6C" w:rsidP="00F47DB5">
      <w:pPr>
        <w:pStyle w:val="ppBodyText"/>
      </w:pPr>
      <w:r>
        <w:t>MCTS Server Administrator - MCTS AD 2008 - MCTS Network Inf</w:t>
      </w:r>
      <w:r>
        <w:br/>
        <w:t>MCTS - Server Virtualization</w:t>
      </w:r>
      <w:r>
        <w:br/>
        <w:t>MCTS W7 &amp; Off2010 - MCTS SCCM 2012/2007 - MCTS SCOM 2007</w:t>
      </w:r>
      <w:r>
        <w:br/>
        <w:t>MCITP Exchange 2010/2007 - MCTS Exch 2010/2007 - MCTS Lync 2010</w:t>
      </w:r>
    </w:p>
    <w:p w:rsidR="00AD0B6C" w:rsidRDefault="00AD0B6C" w:rsidP="00F47DB5">
      <w:pPr>
        <w:pStyle w:val="ppBodyText"/>
        <w:rPr>
          <w:rStyle w:val="Hyperlink"/>
          <w:i/>
          <w:iCs/>
        </w:rPr>
      </w:pPr>
      <w:r>
        <w:t xml:space="preserve">Blog </w:t>
      </w:r>
      <w:hyperlink r:id="rId7" w:history="1">
        <w:r>
          <w:rPr>
            <w:rStyle w:val="Hyperlink"/>
          </w:rPr>
          <w:t>IT Technology Site:</w:t>
        </w:r>
        <w:r>
          <w:rPr>
            <w:rStyle w:val="Hyperlink"/>
            <w:i/>
            <w:iCs/>
          </w:rPr>
          <w:t xml:space="preserve"> About me</w:t>
        </w:r>
      </w:hyperlink>
    </w:p>
    <w:p w:rsidR="00CA7A5E" w:rsidRDefault="00CA7A5E" w:rsidP="00F47DB5">
      <w:pPr>
        <w:pStyle w:val="ppBodyText"/>
      </w:pPr>
    </w:p>
    <w:p w:rsidR="00D67C97" w:rsidRDefault="00D67C97" w:rsidP="00F47DB5">
      <w:pPr>
        <w:pStyle w:val="ppBodyText"/>
      </w:pPr>
      <w:bookmarkStart w:id="0" w:name="_GoBack"/>
      <w:bookmarkEnd w:id="0"/>
    </w:p>
    <w:p w:rsidR="003E77FA" w:rsidRPr="00456A71" w:rsidRDefault="003E77FA" w:rsidP="003E77FA">
      <w:pPr>
        <w:pStyle w:val="Heading2"/>
        <w:rPr>
          <w:lang w:val="es-ES"/>
        </w:rPr>
      </w:pPr>
      <w:r>
        <w:rPr>
          <w:lang w:val="es-ES"/>
        </w:rPr>
        <w:t xml:space="preserve">CM, realizó cambios en los Roles que utiliza el producto.  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Definición de un Site de ConfMgr: Unidad administrativa que define un set of recursos (+) y site systems (*) manejados por CM.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(+) Resources Discovery: Se debe descubrir recursos para utilizar funciones de SCCM.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Default="003E77FA" w:rsidP="003E77FA">
      <w:pPr>
        <w:pStyle w:val="ppBodyText"/>
      </w:pPr>
      <w:r>
        <w:t>Los recursos son: Active Directory Users/Groups/Computers, hubs, routers, IP objects ( gateways, printers),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Una vez que se produce el discover, los datos pasan en DDR (discovery data record) al Site Server y el recurso pasa a la base de CM.  Se ven en All Systems Collections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ab/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(*) Site Systems: Grupo de servers y shares que cumple una función específica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Heading2"/>
        <w:rPr>
          <w:lang w:val="es-ES"/>
        </w:rPr>
      </w:pPr>
      <w:r>
        <w:rPr>
          <w:lang w:val="es-ES"/>
        </w:rPr>
        <w:t>Roles Default en Site System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Cuando se instala un Site Server, existen roles que se instalan por defecto.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A239F5">
      <w:pPr>
        <w:pStyle w:val="ppBodyTextIndent"/>
        <w:ind w:left="0"/>
        <w:rPr>
          <w:lang w:val="es-ES"/>
        </w:rPr>
      </w:pPr>
      <w:r w:rsidRPr="00A239F5">
        <w:rPr>
          <w:b/>
          <w:sz w:val="24"/>
          <w:szCs w:val="24"/>
          <w:lang w:val="es-ES"/>
        </w:rPr>
        <w:t>Site Server</w:t>
      </w:r>
      <w:r w:rsidRPr="00456A71">
        <w:rPr>
          <w:lang w:val="es-ES"/>
        </w:rPr>
        <w:t>: Máquina W2008/R2 en donde CM está instalado y de donde se maneja el Site de SCCM.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Contiene el Core del producto.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Debe ser miembro de un dominio y no es recomendado que sea un DC.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lastRenderedPageBreak/>
        <w:t xml:space="preserve">Corre los sig. servicios:  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SMS Executive (servicio principal de SCCM contiene threads o componentes)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SMS Site Component Manager (se asegura que todo corra como fue configurado)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SMS Site VSS Writer Maneja la comunicación entre el Site y SQL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SMS Site Backup.  Realiza la tarea de backup del Sites obre un Schedule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A239F5">
      <w:pPr>
        <w:pStyle w:val="ppBodyTextIndent"/>
        <w:ind w:left="0"/>
        <w:rPr>
          <w:lang w:val="es-ES"/>
        </w:rPr>
      </w:pPr>
      <w:r w:rsidRPr="00A239F5">
        <w:rPr>
          <w:b/>
          <w:sz w:val="24"/>
          <w:szCs w:val="24"/>
          <w:lang w:val="es-ES"/>
        </w:rPr>
        <w:t>Component Server</w:t>
      </w:r>
      <w:r w:rsidRPr="00456A71">
        <w:rPr>
          <w:lang w:val="es-ES"/>
        </w:rPr>
        <w:t>: Server que corre 1 o más threads del SCCM Executive  en W2008/R2.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El Site Server es además component server ya que corre los Executives.  Es instalado en todos los Site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Systems, excepto Distribution Point.</w:t>
      </w:r>
    </w:p>
    <w:p w:rsidR="003E77FA" w:rsidRPr="00456A71" w:rsidRDefault="003E77FA" w:rsidP="00A67A8D">
      <w:pPr>
        <w:pStyle w:val="ppBodyText"/>
        <w:rPr>
          <w:lang w:val="es-ES"/>
        </w:rPr>
      </w:pPr>
    </w:p>
    <w:p w:rsidR="003E77FA" w:rsidRPr="006266DA" w:rsidRDefault="003E77FA" w:rsidP="00A67A8D">
      <w:pPr>
        <w:pStyle w:val="ppBodyText"/>
        <w:rPr>
          <w:lang w:val="es-ES"/>
        </w:rPr>
      </w:pPr>
      <w:r w:rsidRPr="00A239F5">
        <w:rPr>
          <w:b/>
          <w:sz w:val="24"/>
          <w:szCs w:val="24"/>
          <w:lang w:val="es-ES"/>
        </w:rPr>
        <w:t>Site Database Server</w:t>
      </w:r>
      <w:r w:rsidRPr="00456A71">
        <w:rPr>
          <w:lang w:val="es-ES"/>
        </w:rPr>
        <w:t>: W2008/R2 que tiene las bases de CM en un SQL que interactúa mediante</w:t>
      </w:r>
      <w:r w:rsidR="006266DA">
        <w:rPr>
          <w:lang w:val="es-ES"/>
        </w:rPr>
        <w:t xml:space="preserve"> </w:t>
      </w:r>
      <w:r w:rsidRPr="006266DA">
        <w:rPr>
          <w:lang w:val="es-ES"/>
        </w:rPr>
        <w:t>el servicio SCCM SQL Monitor.  Además utiliza WMI para este control (SMS Provider).</w:t>
      </w:r>
    </w:p>
    <w:p w:rsidR="003E77FA" w:rsidRPr="00456A71" w:rsidRDefault="003E77FA" w:rsidP="00A67A8D">
      <w:pPr>
        <w:pStyle w:val="ppBodyText"/>
        <w:rPr>
          <w:lang w:val="es-ES"/>
        </w:rPr>
      </w:pPr>
      <w:r w:rsidRPr="00A239F5">
        <w:rPr>
          <w:b/>
          <w:sz w:val="24"/>
          <w:szCs w:val="24"/>
          <w:lang w:val="es-ES"/>
        </w:rPr>
        <w:t>SMS Provider</w:t>
      </w:r>
      <w:r w:rsidRPr="00456A71">
        <w:rPr>
          <w:lang w:val="es-ES"/>
        </w:rPr>
        <w:t>: Es la interface entre la consola de CM y la base del site.  Es instalado automáticamente cuando se instala el site de Adm. Central o Primary Site.  Los Secondary Sites, no instalan SMS provider.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 xml:space="preserve">El rol puede ser movido a otra máquina, salvo a aquella que hostea la base de CM en cluster. </w:t>
      </w:r>
    </w:p>
    <w:p w:rsidR="003E77FA" w:rsidRPr="006266DA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Site System</w:t>
      </w:r>
      <w:r w:rsidRPr="00456A71">
        <w:rPr>
          <w:lang w:val="es-ES"/>
        </w:rPr>
        <w:t xml:space="preserve">: Es una máquina que hostea, uno o más roles de site.  Es decir, toda máquina con un rol de </w:t>
      </w:r>
      <w:r w:rsidRPr="006266DA">
        <w:rPr>
          <w:lang w:val="es-ES"/>
        </w:rPr>
        <w:t xml:space="preserve"> Configuration Manager es referenciada como un "Site System".</w:t>
      </w:r>
    </w:p>
    <w:p w:rsidR="003E77FA" w:rsidRPr="00456A71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Management Point</w:t>
      </w:r>
      <w:r w:rsidRPr="00456A71">
        <w:rPr>
          <w:lang w:val="es-ES"/>
        </w:rPr>
        <w:t>: Punto inicial de contacto con el Cliente.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 xml:space="preserve"> Se encarga de entregar el Site asignado al Cliente.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Accede a la Base del SCCM para obtener información sobre los Site Boundaries.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6266DA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Provee al cliente del Site que determina donde está el cliente (IP) y una lista de dónde el cliente</w:t>
      </w:r>
      <w:r w:rsidR="006266DA">
        <w:rPr>
          <w:lang w:val="es-ES"/>
        </w:rPr>
        <w:t xml:space="preserve"> </w:t>
      </w:r>
      <w:r w:rsidRPr="006266DA">
        <w:rPr>
          <w:lang w:val="es-ES"/>
        </w:rPr>
        <w:t>puede chequear por advertisements, local Distributions Points.</w:t>
      </w:r>
    </w:p>
    <w:p w:rsidR="003E77FA" w:rsidRPr="006266DA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ulletList"/>
        <w:rPr>
          <w:lang w:val="es-ES"/>
        </w:rPr>
      </w:pPr>
      <w:r w:rsidRPr="00456A71">
        <w:rPr>
          <w:lang w:val="es-ES"/>
        </w:rPr>
        <w:t>Provee configuración, archivos y software a instalar; es el lugar desde donde chequea por</w:t>
      </w:r>
    </w:p>
    <w:p w:rsidR="003E77FA" w:rsidRPr="00456A71" w:rsidRDefault="003E77FA" w:rsidP="003E77FA">
      <w:pPr>
        <w:pStyle w:val="ppBulletList"/>
        <w:rPr>
          <w:lang w:val="es-ES"/>
        </w:rPr>
      </w:pPr>
      <w:r w:rsidRPr="00456A71">
        <w:rPr>
          <w:lang w:val="es-ES"/>
        </w:rPr>
        <w:t>advertisements y escribe los datos cuando completó el inventario de software y hardware.</w:t>
      </w:r>
    </w:p>
    <w:p w:rsidR="003E77FA" w:rsidRPr="00456A71" w:rsidRDefault="003E77FA" w:rsidP="003E77FA">
      <w:pPr>
        <w:pStyle w:val="ppBulletList"/>
        <w:rPr>
          <w:lang w:val="es-ES"/>
        </w:rPr>
      </w:pPr>
      <w:r w:rsidRPr="00456A71">
        <w:rPr>
          <w:lang w:val="es-ES"/>
        </w:rPr>
        <w:t>Envía información del Cliente al Site directamente</w:t>
      </w:r>
    </w:p>
    <w:p w:rsidR="003E77FA" w:rsidRPr="00456A71" w:rsidRDefault="003E77FA" w:rsidP="003E77FA">
      <w:pPr>
        <w:pStyle w:val="ppBulletList"/>
        <w:rPr>
          <w:lang w:val="es-ES"/>
        </w:rPr>
      </w:pPr>
      <w:r w:rsidRPr="00456A71">
        <w:rPr>
          <w:lang w:val="es-ES"/>
        </w:rPr>
        <w:t>Es el punto de comunicación con los dispositivos móviles cliente.</w:t>
      </w:r>
    </w:p>
    <w:p w:rsidR="003E77FA" w:rsidRPr="00456A71" w:rsidRDefault="003E77FA" w:rsidP="00A67A8D">
      <w:pPr>
        <w:pStyle w:val="ppBodyText"/>
        <w:rPr>
          <w:lang w:val="es-ES"/>
        </w:rPr>
      </w:pPr>
    </w:p>
    <w:p w:rsidR="003E77FA" w:rsidRPr="006266DA" w:rsidRDefault="003E77FA" w:rsidP="00A67A8D">
      <w:pPr>
        <w:pStyle w:val="ppBodyText"/>
        <w:rPr>
          <w:lang w:val="es-ES"/>
        </w:rPr>
      </w:pPr>
      <w:r w:rsidRPr="0014088A">
        <w:rPr>
          <w:b/>
          <w:sz w:val="24"/>
          <w:szCs w:val="24"/>
          <w:lang w:val="es-ES"/>
        </w:rPr>
        <w:lastRenderedPageBreak/>
        <w:t>Distribution Point</w:t>
      </w:r>
      <w:r w:rsidRPr="00456A71">
        <w:rPr>
          <w:lang w:val="es-ES"/>
        </w:rPr>
        <w:t>: Es un server W2008/R2 en donde se almacenan los paquetes de archivos</w:t>
      </w:r>
      <w:r w:rsidR="006266DA">
        <w:rPr>
          <w:lang w:val="es-ES"/>
        </w:rPr>
        <w:t xml:space="preserve"> </w:t>
      </w:r>
      <w:r w:rsidRPr="006266DA">
        <w:rPr>
          <w:lang w:val="es-ES"/>
        </w:rPr>
        <w:t>apuntados por el advertisement.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Cuando se distribuye un paquete, SCCM busca un DP y almacena los datos en el drive con más espacio libre</w:t>
      </w:r>
      <w:r w:rsidR="006266DA">
        <w:rPr>
          <w:lang w:val="es-ES"/>
        </w:rPr>
        <w:t xml:space="preserve"> </w:t>
      </w:r>
      <w:r w:rsidRPr="00456A71">
        <w:rPr>
          <w:lang w:val="es-ES"/>
        </w:rPr>
        <w:t>en una carpeta SMSPKGSIG que comparte, salvo que el administrador configure la ubicación.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Es el rol que inicia y responde a las implementaciones de Sistemas Operativos mediante requerimientos</w:t>
      </w:r>
      <w:r w:rsidR="006266DA">
        <w:rPr>
          <w:lang w:val="es-ES"/>
        </w:rPr>
        <w:t xml:space="preserve"> </w:t>
      </w:r>
      <w:r w:rsidRPr="00456A71">
        <w:rPr>
          <w:lang w:val="es-ES"/>
        </w:rPr>
        <w:t>de booteo PXE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Se puede controlar la distribución del contenido entre varios DPs usando ancho de banda, throttling,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y opciones de Schedule.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6266DA" w:rsidP="006266DA">
      <w:pPr>
        <w:pStyle w:val="Heading2"/>
        <w:rPr>
          <w:lang w:val="es-ES"/>
        </w:rPr>
      </w:pPr>
      <w:r>
        <w:rPr>
          <w:lang w:val="es-ES"/>
        </w:rPr>
        <w:t>Roles Opcionales en Site System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Los roles opcionales, proveen funcionalidades adicionales a la estructura de Configuration Manager.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FallBack Status point</w:t>
      </w:r>
      <w:r w:rsidRPr="00456A71">
        <w:rPr>
          <w:lang w:val="es-ES"/>
        </w:rPr>
        <w:t>: Es el rol que escucha los mensajes de “estado” de los clientes que: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ulletList"/>
        <w:rPr>
          <w:lang w:val="es-ES"/>
        </w:rPr>
      </w:pPr>
      <w:r w:rsidRPr="00456A71">
        <w:rPr>
          <w:lang w:val="es-ES"/>
        </w:rPr>
        <w:t>Se instalaron o no se instalaron correctamente.</w:t>
      </w:r>
    </w:p>
    <w:p w:rsidR="003E77FA" w:rsidRPr="00456A71" w:rsidRDefault="003E77FA" w:rsidP="003E77FA">
      <w:pPr>
        <w:pStyle w:val="ppBulletList"/>
        <w:rPr>
          <w:lang w:val="es-ES"/>
        </w:rPr>
      </w:pPr>
      <w:r w:rsidRPr="00456A71">
        <w:rPr>
          <w:lang w:val="es-ES"/>
        </w:rPr>
        <w:t>No se pudieron asignar a un Site o no pueden comunicarse en forma segura con su Site asignado</w:t>
      </w:r>
      <w:r>
        <w:rPr>
          <w:lang w:val="es-ES"/>
        </w:rPr>
        <w:t xml:space="preserve"> </w:t>
      </w:r>
      <w:r w:rsidRPr="00456A71">
        <w:rPr>
          <w:lang w:val="es-ES"/>
        </w:rPr>
        <w:t>por un problema de Certificado.</w:t>
      </w:r>
    </w:p>
    <w:p w:rsidR="003E77FA" w:rsidRPr="00456A71" w:rsidRDefault="003E77FA" w:rsidP="003E77FA">
      <w:pPr>
        <w:pStyle w:val="ppBulletList"/>
        <w:rPr>
          <w:lang w:val="es-ES"/>
        </w:rPr>
      </w:pPr>
      <w:r w:rsidRPr="00456A71">
        <w:rPr>
          <w:lang w:val="es-ES"/>
        </w:rPr>
        <w:t>No pudieron encontrar al Management Point o tienen problemas de conectividad.</w:t>
      </w:r>
    </w:p>
    <w:p w:rsidR="003E77FA" w:rsidRPr="00456A71" w:rsidRDefault="003E77FA" w:rsidP="003E77FA">
      <w:pPr>
        <w:pStyle w:val="ppBulletList"/>
        <w:rPr>
          <w:lang w:val="es-ES"/>
        </w:rPr>
      </w:pPr>
      <w:r w:rsidRPr="00456A71">
        <w:rPr>
          <w:lang w:val="es-ES"/>
        </w:rPr>
        <w:t>El MP no está configurado correctamente o hay problemas con IIS.</w:t>
      </w:r>
    </w:p>
    <w:p w:rsidR="003E77FA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Es un rol opcional, pero recomendado para troubleshooting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 xml:space="preserve">Acepta comunicaciones “no seguras”, con lo que refleja los problemas de Certificados de un Site 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si hay varios certificados asignados y no hay un orden de entrega, o están expirados o revocados.</w:t>
      </w:r>
    </w:p>
    <w:p w:rsidR="003E77FA" w:rsidRPr="00456A71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Si se usa ClientPush, se asigna automáticamente, sin no se puede colocar en CCMSetup.exe</w:t>
      </w:r>
    </w:p>
    <w:p w:rsidR="003E77FA" w:rsidRPr="008D2FE5" w:rsidRDefault="003E77FA" w:rsidP="003E77FA">
      <w:pPr>
        <w:pStyle w:val="ppBodyText"/>
        <w:rPr>
          <w:lang w:val="es-ES"/>
        </w:rPr>
      </w:pPr>
      <w:r w:rsidRPr="008D2FE5">
        <w:rPr>
          <w:lang w:val="es-ES"/>
        </w:rPr>
        <w:t>SMSSITECODE=A01 FSP=server1  o  server1.dominio.com  o  IP</w:t>
      </w:r>
    </w:p>
    <w:p w:rsidR="003E77FA" w:rsidRPr="008D2FE5" w:rsidRDefault="003E77FA" w:rsidP="003E77FA">
      <w:pPr>
        <w:pStyle w:val="ppBodyText"/>
        <w:rPr>
          <w:lang w:val="es-ES"/>
        </w:rPr>
      </w:pP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>Los dispositivos móviles manejados por CM, no usan este rol, utilizan directamente el conector al Exchange Server.</w:t>
      </w:r>
    </w:p>
    <w:p w:rsidR="003E77FA" w:rsidRPr="008D2FE5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Software Update Point</w:t>
      </w:r>
      <w:r w:rsidRPr="00456A71">
        <w:rPr>
          <w:lang w:val="es-ES"/>
        </w:rPr>
        <w:t xml:space="preserve">: Es la máquina que tiene instalado el WSUS. </w:t>
      </w:r>
      <w:r w:rsidRPr="008D2FE5">
        <w:rPr>
          <w:lang w:val="es-ES"/>
        </w:rPr>
        <w:t>(Ms Windows Server Update Services)</w:t>
      </w:r>
    </w:p>
    <w:p w:rsidR="003E77FA" w:rsidRPr="006266DA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State Migration Point</w:t>
      </w:r>
      <w:r w:rsidRPr="00456A71">
        <w:rPr>
          <w:lang w:val="es-ES"/>
        </w:rPr>
        <w:t>: Almacena los datos del estado de los usuarios (user state data) mientras</w:t>
      </w:r>
      <w:r w:rsidR="006266DA">
        <w:rPr>
          <w:lang w:val="es-ES"/>
        </w:rPr>
        <w:t xml:space="preserve"> </w:t>
      </w:r>
      <w:r w:rsidRPr="006266DA">
        <w:rPr>
          <w:lang w:val="es-ES"/>
        </w:rPr>
        <w:t>que la computadora está migrando a un nuevo Sistema Operativo.</w:t>
      </w:r>
    </w:p>
    <w:p w:rsidR="003E77FA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System Health Validator point</w:t>
      </w:r>
      <w:r w:rsidRPr="00456A71">
        <w:rPr>
          <w:lang w:val="es-ES"/>
        </w:rPr>
        <w:t>: Es la máquina W2008/R2 que corre el servicio de “Network Policy Service”.</w:t>
      </w:r>
      <w:r w:rsidR="0014088A">
        <w:rPr>
          <w:lang w:val="es-ES"/>
        </w:rPr>
        <w:t xml:space="preserve"> </w:t>
      </w:r>
      <w:r w:rsidRPr="00456A71">
        <w:rPr>
          <w:lang w:val="es-ES"/>
        </w:rPr>
        <w:t>Permite reforzar políticas de conexión hacia el server y se utiliza mediante la característica de</w:t>
      </w:r>
      <w:r>
        <w:rPr>
          <w:lang w:val="es-ES"/>
        </w:rPr>
        <w:t xml:space="preserve"> </w:t>
      </w:r>
      <w:r w:rsidRPr="008D2FE5">
        <w:rPr>
          <w:lang w:val="es-ES"/>
        </w:rPr>
        <w:t>“Network Access Protection” de CM.</w:t>
      </w:r>
    </w:p>
    <w:p w:rsidR="003E77FA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Asset Intelligence synchronization point</w:t>
      </w:r>
      <w:r w:rsidRPr="008D2FE5">
        <w:rPr>
          <w:lang w:val="es-ES"/>
        </w:rPr>
        <w:t xml:space="preserve">: </w:t>
      </w:r>
      <w:r w:rsidRPr="00456A71">
        <w:rPr>
          <w:lang w:val="es-ES"/>
        </w:rPr>
        <w:t>Rol que se usa para conectarse a “System Center Online” para manejar la actualización de la</w:t>
      </w:r>
      <w:r>
        <w:rPr>
          <w:lang w:val="es-ES"/>
        </w:rPr>
        <w:t xml:space="preserve"> </w:t>
      </w:r>
      <w:r w:rsidRPr="00456A71">
        <w:rPr>
          <w:lang w:val="es-ES"/>
        </w:rPr>
        <w:t>información de un cierto catálogo.</w:t>
      </w:r>
      <w:r w:rsidR="006266DA">
        <w:rPr>
          <w:lang w:val="es-ES"/>
        </w:rPr>
        <w:t xml:space="preserve"> </w:t>
      </w:r>
      <w:r w:rsidRPr="00456A71">
        <w:rPr>
          <w:lang w:val="es-ES"/>
        </w:rPr>
        <w:t>Es requerido para sincronizar el “local Asset Intelligence catalog” para clientes Microsoft SA license.</w:t>
      </w:r>
    </w:p>
    <w:p w:rsidR="003E77FA" w:rsidRPr="006266DA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Out of Band Service Point</w:t>
      </w:r>
      <w:r w:rsidRPr="006266DA">
        <w:rPr>
          <w:lang w:val="es-ES"/>
        </w:rPr>
        <w:t>: Rol que descubre, provisiona y maneja los escritorios de las computadoras</w:t>
      </w:r>
      <w:r w:rsidR="006266DA">
        <w:rPr>
          <w:lang w:val="es-ES"/>
        </w:rPr>
        <w:t xml:space="preserve"> </w:t>
      </w:r>
      <w:r w:rsidRPr="006266DA">
        <w:rPr>
          <w:lang w:val="es-ES"/>
        </w:rPr>
        <w:t>que tienen “controladores de Management” (como AMT-based computers).</w:t>
      </w:r>
    </w:p>
    <w:p w:rsidR="003E77FA" w:rsidRPr="006266DA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Reporting Service Point</w:t>
      </w:r>
      <w:r w:rsidRPr="00456A71">
        <w:rPr>
          <w:lang w:val="es-ES"/>
        </w:rPr>
        <w:t>: Es un Server con SQL Server Reporting Services instalado que contiene para</w:t>
      </w:r>
      <w:r w:rsidR="006266DA">
        <w:rPr>
          <w:lang w:val="es-ES"/>
        </w:rPr>
        <w:t xml:space="preserve"> </w:t>
      </w:r>
      <w:r w:rsidRPr="006266DA">
        <w:rPr>
          <w:lang w:val="es-ES"/>
        </w:rPr>
        <w:t>poder ver los reportes.  Se comunica sólo con el Site Database Server</w:t>
      </w:r>
    </w:p>
    <w:p w:rsidR="003E77FA" w:rsidRPr="00456A71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Application Catalog web site point</w:t>
      </w:r>
      <w:r w:rsidRPr="00456A71">
        <w:rPr>
          <w:lang w:val="es-ES"/>
        </w:rPr>
        <w:t>: Provee a los usuarios con la lista de software que tienen disponible.</w:t>
      </w:r>
      <w:r w:rsidR="0014088A">
        <w:rPr>
          <w:lang w:val="es-ES"/>
        </w:rPr>
        <w:t xml:space="preserve"> </w:t>
      </w:r>
      <w:r w:rsidR="00A67A8D">
        <w:rPr>
          <w:lang w:val="es-ES"/>
        </w:rPr>
        <w:t>Es un nuevo rol en CM2012</w:t>
      </w:r>
    </w:p>
    <w:p w:rsidR="003E77FA" w:rsidRPr="006266DA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Application Catalog web service point</w:t>
      </w:r>
      <w:r w:rsidR="0014088A">
        <w:rPr>
          <w:lang w:val="es-ES"/>
        </w:rPr>
        <w:t xml:space="preserve">: </w:t>
      </w:r>
      <w:r w:rsidRPr="00456A71">
        <w:rPr>
          <w:lang w:val="es-ES"/>
        </w:rPr>
        <w:t>Es el rol que provee información de software al Web site que</w:t>
      </w:r>
      <w:r w:rsidR="006266DA">
        <w:rPr>
          <w:lang w:val="es-ES"/>
        </w:rPr>
        <w:t xml:space="preserve"> </w:t>
      </w:r>
      <w:r w:rsidRPr="006266DA">
        <w:rPr>
          <w:lang w:val="es-ES"/>
        </w:rPr>
        <w:t>contiene el catálogo desde la Librería de Software.  Es un nuevo rol en CM2012.</w:t>
      </w:r>
    </w:p>
    <w:p w:rsidR="003E77FA" w:rsidRPr="006266DA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Enrollment point</w:t>
      </w:r>
      <w:r w:rsidRPr="00456A71">
        <w:rPr>
          <w:lang w:val="es-ES"/>
        </w:rPr>
        <w:t>: Es el rol que usa certificados de PKI para completar la inscripción para dispositivos</w:t>
      </w:r>
      <w:r w:rsidR="006266DA">
        <w:rPr>
          <w:lang w:val="es-ES"/>
        </w:rPr>
        <w:t xml:space="preserve"> </w:t>
      </w:r>
      <w:r w:rsidRPr="006266DA">
        <w:rPr>
          <w:lang w:val="es-ES"/>
        </w:rPr>
        <w:t>móviles y máquinas ATM.  Es un nuevo rol en CM2012.</w:t>
      </w:r>
    </w:p>
    <w:p w:rsidR="003E77FA" w:rsidRPr="006266DA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Enrollment proxy point</w:t>
      </w:r>
      <w:r w:rsidRPr="00456A71">
        <w:rPr>
          <w:lang w:val="es-ES"/>
        </w:rPr>
        <w:t>: Maneja los requerimientos de los dispositivos móviles para que CM</w:t>
      </w:r>
      <w:r w:rsidR="006266DA">
        <w:rPr>
          <w:lang w:val="es-ES"/>
        </w:rPr>
        <w:t xml:space="preserve"> </w:t>
      </w:r>
      <w:r w:rsidRPr="006266DA">
        <w:rPr>
          <w:lang w:val="es-ES"/>
        </w:rPr>
        <w:t>pueda manejarlos.  Es un nuevo rol en CM2012.</w:t>
      </w:r>
    </w:p>
    <w:p w:rsidR="003E77FA" w:rsidRPr="006266DA" w:rsidRDefault="003E77FA" w:rsidP="0014088A">
      <w:pPr>
        <w:pStyle w:val="ppBodyTextIndent"/>
        <w:ind w:left="0"/>
        <w:rPr>
          <w:lang w:val="es-ES"/>
        </w:rPr>
      </w:pPr>
      <w:r w:rsidRPr="0014088A">
        <w:rPr>
          <w:b/>
          <w:sz w:val="24"/>
          <w:szCs w:val="24"/>
          <w:lang w:val="es-ES"/>
        </w:rPr>
        <w:t>Endpoint Protection point</w:t>
      </w:r>
      <w:r w:rsidRPr="00456A71">
        <w:rPr>
          <w:lang w:val="es-ES"/>
        </w:rPr>
        <w:t>: Brinda la posibilidad de manejar y solucionar los problemas de</w:t>
      </w:r>
      <w:r w:rsidR="006266DA">
        <w:rPr>
          <w:lang w:val="es-ES"/>
        </w:rPr>
        <w:t xml:space="preserve"> </w:t>
      </w:r>
      <w:r w:rsidRPr="006266DA">
        <w:rPr>
          <w:lang w:val="es-ES"/>
        </w:rPr>
        <w:t>configuración de firewall y malware, remediando aquellas PCs que no tienen instalado</w:t>
      </w:r>
      <w:r w:rsidR="006266DA">
        <w:rPr>
          <w:lang w:val="es-ES"/>
        </w:rPr>
        <w:t xml:space="preserve"> </w:t>
      </w:r>
      <w:r w:rsidRPr="006266DA">
        <w:rPr>
          <w:lang w:val="es-ES"/>
        </w:rPr>
        <w:t xml:space="preserve">SC2012 Endpoint Protection. </w:t>
      </w:r>
      <w:r w:rsidRPr="0014088A">
        <w:rPr>
          <w:lang w:val="es-ES"/>
        </w:rPr>
        <w:t>(antes conocido como ForeFront End Point Protection)</w:t>
      </w:r>
    </w:p>
    <w:p w:rsidR="003E77FA" w:rsidRPr="0014088A" w:rsidRDefault="003E77FA" w:rsidP="003E77FA">
      <w:pPr>
        <w:pStyle w:val="ppListEnd"/>
        <w:rPr>
          <w:lang w:val="es-ES"/>
        </w:rPr>
      </w:pPr>
    </w:p>
    <w:p w:rsidR="003E77FA" w:rsidRPr="00456A71" w:rsidRDefault="006266DA" w:rsidP="006266DA">
      <w:pPr>
        <w:pStyle w:val="Heading2"/>
        <w:rPr>
          <w:lang w:val="es-ES"/>
        </w:rPr>
      </w:pPr>
      <w:r>
        <w:rPr>
          <w:lang w:val="es-ES"/>
        </w:rPr>
        <w:t xml:space="preserve">Roles que cambiaron  </w:t>
      </w:r>
    </w:p>
    <w:p w:rsidR="003E77FA" w:rsidRPr="00456A71" w:rsidRDefault="003E77FA" w:rsidP="003E77FA">
      <w:pPr>
        <w:pStyle w:val="ppBodyText"/>
        <w:rPr>
          <w:lang w:val="es-ES"/>
        </w:rPr>
      </w:pPr>
      <w:r w:rsidRPr="00456A71">
        <w:rPr>
          <w:lang w:val="es-ES"/>
        </w:rPr>
        <w:t xml:space="preserve">Hay determinados roles, que han sido integrados a otros roles en Configuration Manager. </w:t>
      </w:r>
    </w:p>
    <w:p w:rsidR="003E77FA" w:rsidRPr="00456A71" w:rsidRDefault="003E77FA" w:rsidP="00020D4B">
      <w:pPr>
        <w:pStyle w:val="ppNumberList"/>
        <w:rPr>
          <w:lang w:val="es-ES"/>
        </w:rPr>
      </w:pPr>
      <w:r w:rsidRPr="00456A71">
        <w:rPr>
          <w:lang w:val="es-ES"/>
        </w:rPr>
        <w:t>Branch distribution point: Este rol fue retirado.  CM 2012 soporta sólo Distribution Points, que puede ser instalado en servers o workstations y además es posible controlar los seteos de ancho de banda (bandwidth throttling) que utiliza desde las propiedades del DPoint.</w:t>
      </w:r>
    </w:p>
    <w:p w:rsidR="003E77FA" w:rsidRPr="00456A71" w:rsidRDefault="003E77FA" w:rsidP="00020D4B">
      <w:pPr>
        <w:pStyle w:val="ppNumberList"/>
        <w:rPr>
          <w:lang w:val="es-ES"/>
        </w:rPr>
      </w:pPr>
      <w:r w:rsidRPr="00456A71">
        <w:rPr>
          <w:lang w:val="es-ES"/>
        </w:rPr>
        <w:lastRenderedPageBreak/>
        <w:t>PXE Service point: Su funcionalidad se integró al rol de Distribution Point.</w:t>
      </w:r>
    </w:p>
    <w:p w:rsidR="003E77FA" w:rsidRPr="00456A71" w:rsidRDefault="003E77FA" w:rsidP="00020D4B">
      <w:pPr>
        <w:pStyle w:val="ppNumberList"/>
        <w:rPr>
          <w:lang w:val="es-ES"/>
        </w:rPr>
      </w:pPr>
      <w:r w:rsidRPr="00456A71">
        <w:rPr>
          <w:lang w:val="es-ES"/>
        </w:rPr>
        <w:t>Reporting point: Este rol ha sido retirado.  CM2012, solo usa Reporting Services de  SQL.</w:t>
      </w:r>
    </w:p>
    <w:p w:rsidR="003E77FA" w:rsidRDefault="003E77FA" w:rsidP="00020D4B">
      <w:pPr>
        <w:pStyle w:val="ppNumberList"/>
      </w:pPr>
      <w:r>
        <w:t>Server Locator point: Su funcionalidad se integró al role de Management Point.</w:t>
      </w:r>
    </w:p>
    <w:p w:rsidR="003E77FA" w:rsidRDefault="003E77FA" w:rsidP="003E77FA">
      <w:pPr>
        <w:pStyle w:val="ppBodyText"/>
      </w:pPr>
    </w:p>
    <w:p w:rsidR="00020D4B" w:rsidRDefault="00020D4B" w:rsidP="00020D4B">
      <w:pPr>
        <w:pStyle w:val="ppBodyText"/>
      </w:pPr>
    </w:p>
    <w:p w:rsidR="003E77FA" w:rsidRPr="00885766" w:rsidRDefault="003E77FA" w:rsidP="00F47DB5">
      <w:pPr>
        <w:pStyle w:val="ppBodyText"/>
      </w:pPr>
    </w:p>
    <w:sectPr w:rsidR="003E77FA" w:rsidRPr="0088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66"/>
    <w:rsid w:val="00020D4B"/>
    <w:rsid w:val="0014088A"/>
    <w:rsid w:val="003E77FA"/>
    <w:rsid w:val="006266DA"/>
    <w:rsid w:val="00885766"/>
    <w:rsid w:val="00A239F5"/>
    <w:rsid w:val="00A67A8D"/>
    <w:rsid w:val="00AD0B6C"/>
    <w:rsid w:val="00CA7A5E"/>
    <w:rsid w:val="00D67C97"/>
    <w:rsid w:val="00F4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347B4-A937-42ED-A187-CF856B25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85766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8857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8857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8857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8857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57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8857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885766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885766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885766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885766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885766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885766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885766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885766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885766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885766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885766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885766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885766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885766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885766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885766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885766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885766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885766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885766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885766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885766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885766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885766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885766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885766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885766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885766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885766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885766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885766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885766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885766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885766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885766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885766"/>
    <w:rPr>
      <w:color w:val="333399"/>
    </w:rPr>
  </w:style>
  <w:style w:type="table" w:customStyle="1" w:styleId="ppTableGrid">
    <w:name w:val="pp Table Grid"/>
    <w:basedOn w:val="ppTableList"/>
    <w:rsid w:val="00885766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885766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885766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885766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885766"/>
  </w:style>
  <w:style w:type="table" w:styleId="TableGrid">
    <w:name w:val="Table Grid"/>
    <w:basedOn w:val="TableNormal"/>
    <w:rsid w:val="00885766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8576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85766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85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766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885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5766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885766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8576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7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885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766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8576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885766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885766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885766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885766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885766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885766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885766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885766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885766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885766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885766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885766"/>
  </w:style>
  <w:style w:type="character" w:customStyle="1" w:styleId="BodyTextChar">
    <w:name w:val="Body Text Char"/>
    <w:basedOn w:val="DefaultParagraphFont"/>
    <w:link w:val="BodyText"/>
    <w:semiHidden/>
    <w:rsid w:val="00885766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885766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885766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885766"/>
    <w:pPr>
      <w:ind w:left="2580"/>
    </w:pPr>
  </w:style>
  <w:style w:type="character" w:styleId="Hyperlink">
    <w:name w:val="Hyperlink"/>
    <w:basedOn w:val="DefaultParagraphFont"/>
    <w:uiPriority w:val="99"/>
    <w:semiHidden/>
    <w:unhideWhenUsed/>
    <w:rsid w:val="00AD0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ttechnologysite.blogspot.com.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us.google.com/102022832380927697290/posts/p/pu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79FD-E6FA-4D1F-B5DF-61FF72CB0D33}"/>
      </w:docPartPr>
      <w:docPartBody>
        <w:p w:rsidR="006B3BD1" w:rsidRDefault="002C68E6">
          <w:r w:rsidRPr="00FE341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E6"/>
    <w:rsid w:val="002C68E6"/>
    <w:rsid w:val="00304F40"/>
    <w:rsid w:val="00410F02"/>
    <w:rsid w:val="004F685F"/>
    <w:rsid w:val="0052453A"/>
    <w:rsid w:val="006B3BD1"/>
    <w:rsid w:val="00710CBA"/>
    <w:rsid w:val="00780652"/>
    <w:rsid w:val="009107C9"/>
    <w:rsid w:val="00A47659"/>
    <w:rsid w:val="00AA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8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4 b c 6 e b d 7 - b 0 1 0 - 4 3 d f - a 8 0 f - 4 6 f 0 f 2 1 1 4 3 8 4 "   t i t l e = " R o l e s   d e   S i t e   S y s t e m   e n   C M   2 0 1 2 "   s t y l e = " T o p i c " / >  
 < / t o c > 
</file>

<file path=customXml/itemProps1.xml><?xml version="1.0" encoding="utf-8"?>
<ds:datastoreItem xmlns:ds="http://schemas.openxmlformats.org/officeDocument/2006/customXml" ds:itemID="{A84F6603-0FD2-43CC-ACAA-ED4B1C8133F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16</TotalTime>
  <Pages>1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Gonzalez</dc:creator>
  <cp:keywords/>
  <dc:description/>
  <cp:lastModifiedBy>Andy Gonzalez</cp:lastModifiedBy>
  <cp:revision>13</cp:revision>
  <dcterms:created xsi:type="dcterms:W3CDTF">2013-09-25T15:21:00Z</dcterms:created>
  <dcterms:modified xsi:type="dcterms:W3CDTF">2013-09-25T19:14:00Z</dcterms:modified>
</cp:coreProperties>
</file>