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3.xml"/>
  <Override ContentType="application/vnd.openxmlformats-officedocument.wordprocessingml.footer+xml" PartName="/word/footer3.xml"/>
  <Override ContentType="application/vnd.openxmlformats-officedocument.wordprocessingml.footer+xml" PartName="/word/footer10.xml"/>
  <Override ContentType="application/vnd.openxmlformats-officedocument.wordprocessingml.footer+xml" PartName="/word/footer11.xml"/>
  <Override ContentType="application/vnd.openxmlformats-officedocument.wordprocessingml.footer+xml" PartName="/word/footer1.xml"/>
  <Override ContentType="application/vnd.openxmlformats-officedocument.wordprocessingml.footer+xml" PartName="/word/footer7.xml"/>
  <Override ContentType="application/vnd.openxmlformats-officedocument.wordprocessingml.footer+xml" PartName="/word/footer5.xml"/>
  <Override ContentType="application/vnd.openxmlformats-officedocument.wordprocessingml.footer+xml" PartName="/word/footer9.xml"/>
  <Override ContentType="application/vnd.openxmlformats-officedocument.wordprocessingml.footer+xml" PartName="/word/footer4.xml"/>
  <Override ContentType="application/vnd.openxmlformats-officedocument.wordprocessingml.footer+xml" PartName="/word/footer12.xml"/>
  <Override ContentType="application/vnd.openxmlformats-officedocument.wordprocessingml.footer+xml" PartName="/word/footer2.xml"/>
  <Override ContentType="application/vnd.openxmlformats-officedocument.wordprocessingml.footer+xml" PartName="/word/footer6.xml"/>
  <Override ContentType="application/vnd.openxmlformats-officedocument.wordprocessingml.footer+xml" PartName="/word/footer8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after="120" w:line="360" w:lineRule="auto"/>
        <w:jc w:val="center"/>
      </w:pPr>
      <w:r>
        <w:rPr>
          <w:rFonts w:ascii="Times New Roman" w:hAnsi="Times New Roman" w:cs="Times New Roman"/>
          <w:b/>
          <w:sz w:val="24"/>
          <w:szCs w:val="24"/>
        </w:rPr>
        <w:t>МИНОБРНАУКИ РОССИИ</w:t>
      </w:r>
    </w:p>
    <w:p>
      <w:pPr>
        <w:spacing w:after="120" w:line="36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</w:t>
      </w:r>
    </w:p>
    <w:p>
      <w:pPr>
        <w:spacing w:after="120" w:line="36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>высшего образования</w:t>
      </w:r>
    </w:p>
    <w:p>
      <w:pPr>
        <w:spacing w:after="120" w:line="36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>«МИРЭА – Российский технологический университет»</w:t>
      </w:r>
    </w:p>
    <w:p>
      <w:pPr>
        <w:spacing w:after="120" w:line="36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>РТУ МИРЭА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/>
      </w:r>
    </w:p>
    <w:p>
      <w:pPr>
        <w:spacing w:after="120" w:line="36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>Институт информационных технологий (ИТ)</w:t>
      </w:r>
    </w:p>
    <w:p>
      <w:pPr>
        <w:spacing w:after="120" w:line="36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>Кафедра игровой индустрии (ИИ)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/>
      </w:r>
    </w:p>
    <w:p>
      <w:pPr>
        <w:spacing w:after="120" w:line="360" w:lineRule="auto"/>
        <w:jc w:val="center"/>
      </w:pPr>
      <w:r>
        <w:rPr>
          <w:rFonts w:ascii="Times New Roman" w:hAnsi="Times New Roman" w:cs="Times New Roman"/>
          <w:b/>
          <w:sz w:val="24"/>
          <w:szCs w:val="24"/>
        </w:rPr>
        <w:t>КУРСОВАЯ РАБОТА</w:t>
      </w:r>
    </w:p>
    <w:p>
      <w:pPr>
        <w:spacing w:after="120" w:line="36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>по дисциплине: Проектирование и разработка клиент-серверных приложений</w:t>
      </w:r>
    </w:p>
    <w:p>
      <w:pPr>
        <w:spacing w:after="120" w:line="36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>по профилю: Разработка программных продуктов и проектирование</w:t>
      </w:r>
    </w:p>
    <w:p>
      <w:pPr>
        <w:spacing w:after="120" w:line="36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>информационных систем</w:t>
      </w:r>
    </w:p>
    <w:p>
      <w:pPr>
        <w:spacing w:after="120" w:line="36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>направления профессиональной подготовки: 09.03.04 «Программная инженерия»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/>
      </w:r>
    </w:p>
    <w:p>
      <w:pPr>
        <w:spacing w:after="120"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>Тема: «Сервис автоматической генерации субтитров и перевода для видео»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/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>Студент: Котов Алим Артурович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>Группа: ИКБО-13-23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>Работа представлена к защите 16.05.2026 / _______________/_____________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>(подпись и ф.и.о. студента)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>Руководитель: ст.преп., Коваленко Михаил Андреевич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>Работа допущена к защите __.__.2026 (дата) _________/Коваленко М.А.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>(подпись и ф.и.о.рук-ля)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>Оценка по итогам защиты: __________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/>
      </w:r>
    </w:p>
    <w:p>
      <w:pPr>
        <w:spacing w:after="120" w:line="36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>М. РТУ МИРЭА. 2026 г.</w:t>
      </w:r>
    </w:p>
    <w:p>
      <w:r>
        <w:br w:type="page"/>
      </w:r>
    </w:p>
    <w:p>
      <w:pPr>
        <w:spacing w:after="18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>СОДЕРЖАНИЕ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>ПЕРЕЧЕНЬ СОКРАЩЕНИЙ И ОБОЗНАЧЕНИЙ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>РЕФЕРАТ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>ВВЕДЕНИЕ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>1 ОСНОВНАЯ ЧАСТЬ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>1.1 Характеристика предметной области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>1.2 Сравнительный анализ существующих программных решений и выявление их ограничений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>1.3 Функциональные и нефункциональные требования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>1.4 Обоснование выбора клиент-серверной архитектуры для решения поставленной задачи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>1.5 Выбор программного стека для реализации приложения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>1.6 Разработка серверной части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>1.7 Разработка клиентской части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>1.8 Проектирование базы данных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>2 ТЕСТИРОВАНИЕ И ЭКСПЛУАТАЦИЯ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>2.1 Тестирование обработки входных данных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>2.2 Контейнеризация приложения с использованием Docker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>2.3 Подготовка проекта к размещению в GitHub и развёртыванию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>2.4 Тестирование системы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>ЗАКЛЮЧЕНИЕ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>СПИСОК ИСПОЛЬЗОВАННЫХ ИСТОЧНИКОВ</w:t>
      </w:r>
    </w:p>
    <w:p>
      <w:r>
        <w:br w:type="page"/>
      </w:r>
    </w:p>
    <w:p>
      <w:pPr>
        <w:spacing w:after="18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>ПЕРЕЧЕНЬ СОКРАЩЕНИЙ И ОБОЗНАЧЕНИЙ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>В настоящем отчете о курсовой работе применяют следующие сокращения и обозначения: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/>
      </w:r>
    </w:p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Сокращение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Расшифровка</w:t>
            </w:r>
          </w:p>
        </w:tc>
      </w:tr>
      <w:tr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API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Application Programming Interface - программный интерфейс приложения</w:t>
            </w:r>
          </w:p>
        </w:tc>
      </w:tr>
      <w:tr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ASR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Automatic Speech Recognition - автоматическое распознавание речи</w:t>
            </w:r>
          </w:p>
        </w:tc>
      </w:tr>
      <w:tr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SRT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SubRip Subtitle - текстовый формат субтитров с временными метками</w:t>
            </w:r>
          </w:p>
        </w:tc>
      </w:tr>
      <w:tr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HTTP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HyperText Transfer Protocol - протокол передачи гипертекста</w:t>
            </w:r>
          </w:p>
        </w:tc>
      </w:tr>
      <w:tr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HTML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HyperText Markup Language - язык гипертекстовой разметки</w:t>
            </w:r>
          </w:p>
        </w:tc>
      </w:tr>
      <w:tr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CSS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Cascading Style Sheets - каскадные таблицы стилей</w:t>
            </w:r>
          </w:p>
        </w:tc>
      </w:tr>
      <w:tr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MVP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Minimum Viable Product - минимально жизнеспособный продукт</w:t>
            </w:r>
          </w:p>
        </w:tc>
      </w:tr>
      <w:tr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ORM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Object-Relational Mapping - объектно-реляционное отображение</w:t>
            </w:r>
          </w:p>
        </w:tc>
      </w:tr>
      <w:tr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ML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Machine Learning - машинное обучение</w:t>
            </w:r>
          </w:p>
        </w:tc>
      </w:tr>
      <w:tr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Docker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Платформа контейнеризации приложений</w:t>
            </w:r>
          </w:p>
        </w:tc>
      </w:tr>
    </w:tbl>
    <w:p>
      <w:r>
        <w:br w:type="page"/>
      </w:r>
    </w:p>
    <w:p>
      <w:pPr>
        <w:spacing w:after="18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>РЕФЕРАТ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>Отчёт: 30 с., 4 рис., 7 табл., 10 источн., 0 прил.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/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>Ключевые слова: СУБТИТРЫ, ПЕРЕВОД ВИДЕО, DJANGO, PYTHON, FASTER-WHISPER, ARGOS TRANSLATE, SQLITE, DOCKER, ЛОКАЛЬНАЯ ОБРАБОТКА, SRT.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/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>Объектом разработки является сервис автоматической генерации субтитров и перевода для видео. Цель работы - проектирование и реализация простого клиент-серверного веб-приложения, позволяющего загружать видео- и аудиофайлы, выполнять локальное распознавание речи, переводить полученные субтитры и скачивать результат в формате SRT.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/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>В ходе работы применялись методы анализа предметной области, проектирования клиент-серверной архитектуры, разработки Django-приложения, контейнеризации и модульного тестирования. Использованы технологии Python, Django, SQLite, HTML, CSS, faster-whisper, Argos Translate и Docker.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/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>Разработан работоспособный прототип сервиса, включающий форму загрузки файла, модель задания обработки, серверный модуль распознавания и перевода, интерфейс просмотра результата, загрузку оригинальных и переведенных субтитров, а также Dockerfile для контейнерного запуска.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/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>Практическая значимость работы заключается в создании бесплатного локального решения, не требующего платных API-ключей и позволяющего использовать вычислительные ресурсы пользователя для автоматической подготовки субтитров.</w:t>
      </w:r>
    </w:p>
    <w:p>
      <w:r>
        <w:br w:type="page"/>
      </w:r>
    </w:p>
    <w:p>
      <w:pPr>
        <w:spacing w:after="18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>ВВЕДЕНИЕ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>Видео стало одним из основных форматов распространения образовательного, развлекательного и корпоративного контента. Для повышения доступности видеоматериалов часто требуются субтитры: они помогают пользователям воспринимать речь в шумной обстановке, делают материалы доступнее для людей с нарушениями слуха и упрощают перевод контента на другие языки.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/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>Ручная подготовка субтитров требует значительных временных затрат: необходимо прослушивать запись, расставлять временные метки, редактировать текст и отдельно выполнять перевод. Существующие онлайн-сервисы часто требуют оплаты, ограничивают длительность роликов или передают пользовательские файлы на внешние серверы.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/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>Целью данной курсовой работы является разработка простого клиент-серверного сервиса автоматической генерации субтитров и перевода для видео с использованием Python и Django.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/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>Для достижения цели были поставлены следующие задачи: изучить предметную область автоматического распознавания речи и перевода; выполнить сравнительный анализ существующих решений; сформулировать функциональные и нефункциональные требования; разработать серверную часть; реализовать простой пользовательский интерфейс; спроектировать базу данных; выполнить тестирование; подготовить контейнерный запуск приложения.</w:t>
      </w:r>
    </w:p>
    <w:p>
      <w:r>
        <w:br w:type="page"/>
      </w:r>
    </w:p>
    <w:p>
      <w:pPr>
        <w:spacing w:after="18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>1 ОСНОВНАЯ ЧАСТЬ</w:t>
      </w:r>
    </w:p>
    <w:p>
      <w:pPr>
        <w:spacing w:after="180" w:line="360" w:lineRule="auto"/>
      </w:pPr>
      <w:r>
        <w:rPr>
          <w:rFonts w:ascii="Times New Roman" w:hAnsi="Times New Roman" w:cs="Times New Roman"/>
          <w:b/>
          <w:sz w:val="26"/>
          <w:szCs w:val="26"/>
        </w:rPr>
        <w:t>1.1 Характеристика предметной области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>Предметная область работы связана с автоматической обработкой мультимедийных файлов, распознаванием речи, машинным переводом и формированием текстовых субтитров. Сервис такого типа принимает видео или аудио, извлекает речевой поток, преобразует речь в текст, разбивает текст на сегменты с временными метками и формирует файл субтитров.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/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>Наиболее распространенным форматом обмена субтитрами является SRT. Он содержит порядковый номер сегмента, временной интервал начала и окончания отображения текста, а также текст реплики. Простота формата делает его удобным для дальнейшего использования в медиаплеерах, видеоредакторах и платформах публикации видео.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/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>В рамках разработанного приложения акцент сделан на локальной обработке данных. Такой подход отличается от облачных решений тем, что пользовательские файлы не отправляются во внешний платный API. Распознавание выполняется моделью faster-whisper, а перевод - библиотекой Argos Translate. Это снижает зависимость от внешних сервисов и позволяет использовать приложение без денежных затрат на API.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/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>Объектом исследования является процесс разработки программного обеспечения для автоматической генерации и перевода субтитров. Предметом исследования выступают архитектурные и технологические решения, применяемые при создании клиент-серверного веб-приложения для обработки мультимедийных файлов.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/>
      </w:r>
    </w:p>
    <w:p>
      <w:pPr>
        <w:spacing w:after="180" w:line="360" w:lineRule="auto"/>
      </w:pPr>
      <w:r>
        <w:rPr>
          <w:rFonts w:ascii="Times New Roman" w:hAnsi="Times New Roman" w:cs="Times New Roman"/>
          <w:b/>
          <w:sz w:val="26"/>
          <w:szCs w:val="26"/>
        </w:rPr>
        <w:t>1.2 Сравнительный анализ существующих программных решений и выявление их ограничений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>На рынке существуют как коммерческие веб-сервисы, так и локальные инструменты для подготовки субтитров. Для сравнения были рассмотрены YouTube Studio, VEED.io, Happy Scribe, Subtitle Edit и разрабатываемый сервис. Сравнение представлено в таблице 1.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/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>Таблица 1 - Анализ существующих решений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/>
      </w:r>
    </w:p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Критерий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YouTube Studio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VEED.io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Happy Scribe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Subtitle Edit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Разрабатываемый сервис</w:t>
            </w:r>
          </w:p>
        </w:tc>
      </w:tr>
      <w:tr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Основное назначение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Субтитры для YouTube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Онлайн-редактор видео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Транскрибация и перевод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Локальный редактор субтитров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Локальная генерация и перевод SRT</w:t>
            </w:r>
          </w:p>
        </w:tc>
      </w:tr>
      <w:tr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Стоимость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Бесплатно в рамках платформы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Freemium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Коммерческая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Бесплатно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Бесплатно</w:t>
            </w:r>
          </w:p>
        </w:tc>
      </w:tr>
      <w:tr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Локальная обработка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Нет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Нет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Нет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Частично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Да</w:t>
            </w:r>
          </w:p>
        </w:tc>
      </w:tr>
      <w:tr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Нужен API-ключ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Нет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Нет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Нет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Нет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Нет</w:t>
            </w:r>
          </w:p>
        </w:tc>
      </w:tr>
      <w:tr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Автоматический перевод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Ограниченно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Да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Да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Частично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Да, через Argos</w:t>
            </w:r>
          </w:p>
        </w:tc>
      </w:tr>
      <w:tr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Контейнеризация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Нет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Нет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Нет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Нет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Да</w:t>
            </w:r>
          </w:p>
        </w:tc>
      </w:tr>
      <w:tr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Обучающая ценность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Низкая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Низкая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Низкая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Средняя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Высокая</w:t>
            </w:r>
          </w:p>
        </w:tc>
      </w:tr>
    </w:tbl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/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>Анализ показал, что онлайн-сервисы удобны для пользователя, но часто имеют ограничения по стоимости, приватности и объему загружаемых файлов. YouTube Studio ориентирован преимущественно на ролики, размещаемые на платформе YouTube, и не является универсальным инструментом для локальной обработки. Коммерческие сервисы предоставляют качественный перевод, но требуют оплаты после исчерпания бесплатных лимитов.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/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>Subtitle Edit является мощным локальным инструментом, однако он больше ориентирован на ручное редактирование субтитров. Разрабатываемый сервис занимает промежуточную позицию: он является учебным веб-приложением, демонстрирующим полный цикл загрузки файла, обработки, хранения задания и выдачи результата.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/>
      </w:r>
    </w:p>
    <w:p>
      <w:pPr>
        <w:spacing w:after="180" w:line="360" w:lineRule="auto"/>
      </w:pPr>
      <w:r>
        <w:rPr>
          <w:rFonts w:ascii="Times New Roman" w:hAnsi="Times New Roman" w:cs="Times New Roman"/>
          <w:b/>
          <w:sz w:val="26"/>
          <w:szCs w:val="26"/>
        </w:rPr>
        <w:t>1.3 Функциональные и нефункциональные требования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>На основе анализа предметной области были сформированы требования к сервису автоматической генерации субтитров и перевода. Функциональные требования представлены в таблице 2.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/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>Таблица 2 - Функциональные требования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/>
      </w:r>
    </w:p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№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Требование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Описание</w:t>
            </w:r>
          </w:p>
        </w:tc>
      </w:tr>
      <w:tr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Загрузка файла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Пользователь должен иметь возможность загрузить видео или аудио через веб-форму</w:t>
            </w:r>
          </w:p>
        </w:tc>
      </w:tr>
      <w:tr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Выбор языка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Система должна поддерживать автоопределение языка видео и ручной ввод кода языка</w:t>
            </w:r>
          </w:p>
        </w:tc>
      </w:tr>
      <w:tr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Выбор языка перевода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Пользователь должен выбирать целевой язык перевода субтитров</w:t>
            </w:r>
          </w:p>
        </w:tc>
      </w:tr>
      <w:tr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Генерация SRT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Система должна формировать исходные субтитры с временными метками</w:t>
            </w:r>
          </w:p>
        </w:tc>
      </w:tr>
      <w:tr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Перевод субтитров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Система должна переводить текст сегментов с сохранением структуры SRT</w:t>
            </w:r>
          </w:p>
        </w:tc>
      </w:tr>
      <w:tr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Хранение результата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Система должна сохранять статус задания, оригинальные и переведенные субтитры</w:t>
            </w:r>
          </w:p>
        </w:tc>
      </w:tr>
      <w:tr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Скачивание файлов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Пользователь должен иметь возможность скачать оригинальный и переведенный SRT</w:t>
            </w:r>
          </w:p>
        </w:tc>
      </w:tr>
      <w:tr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Повтор обработки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При ошибке пользователь должен иметь возможность повторить обработку задания</w:t>
            </w:r>
          </w:p>
        </w:tc>
      </w:tr>
    </w:tbl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/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>Нефункциональные требования представлены в таблице 3.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/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>Таблица 3 - Нефункциональные требования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/>
      </w:r>
    </w:p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№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Требование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Описание</w:t>
            </w:r>
          </w:p>
        </w:tc>
      </w:tr>
      <w:tr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Простота запуска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Приложение должно запускаться локально через Django или Docker</w:t>
            </w:r>
          </w:p>
        </w:tc>
      </w:tr>
      <w:tr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Отсутствие платного API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Распознавание и перевод должны выполняться без OpenAI API key и других платных ключей</w:t>
            </w:r>
          </w:p>
        </w:tc>
      </w:tr>
      <w:tr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Сохраняемость данных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Загруженные файлы и результаты должны сохраняться в локальной файловой системе и SQLite</w:t>
            </w:r>
          </w:p>
        </w:tc>
      </w:tr>
      <w:tr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Расширяемость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Архитектура должна позволять заменить модель распознавания или переводчик</w:t>
            </w:r>
          </w:p>
        </w:tc>
      </w:tr>
      <w:tr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Удобство интерфейса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Форма загрузки и страница результата должны быть понятны пользователю</w:t>
            </w:r>
          </w:p>
        </w:tc>
      </w:tr>
      <w:tr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Воспроизводимость среды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Приложение должно иметь Dockerfile и файл зависимостей</w:t>
            </w:r>
          </w:p>
        </w:tc>
      </w:tr>
    </w:tbl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/>
      </w:r>
    </w:p>
    <w:p>
      <w:pPr>
        <w:spacing w:after="180" w:line="360" w:lineRule="auto"/>
      </w:pPr>
      <w:r>
        <w:rPr>
          <w:rFonts w:ascii="Times New Roman" w:hAnsi="Times New Roman" w:cs="Times New Roman"/>
          <w:b/>
          <w:sz w:val="26"/>
          <w:szCs w:val="26"/>
        </w:rPr>
        <w:t>1.4 Обоснование выбора клиент-серверной архитектуры для решения поставленной задачи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>Для реализации сервиса выбрана клиент-серверная архитектура. Клиентская часть отвечает за ввод данных пользователем: выбор файла, исходного языка и языка перевода. Серверная часть принимает файл, создает запись задания, выполняет распознавание и перевод, сохраняет результат и предоставляет пользователю ссылки на скачивание.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/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>Выбранная архитектура удобна для учебного проекта, так как разделяет пользовательский интерфейс, бизнес-логику обработки файлов и хранение данных. Django обеспечивает маршрутизацию, обработку форм, работу с базой данных через ORM и генерацию HTML-шаблонов. Такой подход позволяет реализовать функциональность без отдельного frontend-фреймворка и без усложнения проекта.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/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>Схема взаимодействия компонентов приложения: пользователь отправляет файл через браузер; Django-view создает объект VideoJob; сервисный слой вызывает faster-whisper для распознавания; полученный SRT передается в модуль перевода Argos Translate; результат сохраняется в базе данных и отображается на странице задания.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/>
      </w:r>
    </w:p>
    <w:p>
      <w:pPr>
        <w:spacing w:after="180" w:line="360" w:lineRule="auto"/>
      </w:pPr>
      <w:r>
        <w:rPr>
          <w:rFonts w:ascii="Times New Roman" w:hAnsi="Times New Roman" w:cs="Times New Roman"/>
          <w:b/>
          <w:sz w:val="26"/>
          <w:szCs w:val="26"/>
        </w:rPr>
        <w:t>1.5 Выбор программного стека для реализации приложения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>Для реализации был выбран стек, ориентированный на простоту разработки, локальную обработку и минимальное количество внешних сервисов. Выбор программных средств представлен в таблице 4.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/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>Таблица 4 - Используемый программный стек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/>
      </w:r>
    </w:p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Компонент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Технология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Назначение</w:t>
            </w:r>
          </w:p>
        </w:tc>
      </w:tr>
      <w:tr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Язык программирования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Python 3.9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Разработка серверной логики и интеграция ML-библиотек</w:t>
            </w:r>
          </w:p>
        </w:tc>
      </w:tr>
      <w:tr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Web-фреймворк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Django 4.0.2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Маршрутизация, формы, шаблоны, ORM и административная панель</w:t>
            </w:r>
          </w:p>
        </w:tc>
      </w:tr>
      <w:tr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База данных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SQLite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Локальное хранение заданий обработки</w:t>
            </w:r>
          </w:p>
        </w:tc>
      </w:tr>
      <w:tr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Распознавание речи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faster-whisper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Локальное преобразование речи в текст с временными метками</w:t>
            </w:r>
          </w:p>
        </w:tc>
      </w:tr>
      <w:tr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Перевод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Argos Translate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Локальный перевод сегментов субтитров</w:t>
            </w:r>
          </w:p>
        </w:tc>
      </w:tr>
      <w:tr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Фронтенд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HTML + CSS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Простой пользовательский интерфейс</w:t>
            </w:r>
          </w:p>
        </w:tc>
      </w:tr>
      <w:tr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Контейнеризация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Docker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Воспроизводимый запуск приложения</w:t>
            </w:r>
          </w:p>
        </w:tc>
      </w:tr>
    </w:tbl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/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>Django выбран как фреймворк, позволяющий быстро создать серверное приложение с формами, базой данных и HTML-шаблонами. SQLite подходит для учебного и локального использования, так как не требует отдельного сервера баз данных. faster-whisper и Argos Translate позволяют отказаться от платных API и выполнять обработку локально.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/>
      </w:r>
    </w:p>
    <w:p>
      <w:pPr>
        <w:spacing w:after="180" w:line="360" w:lineRule="auto"/>
      </w:pPr>
      <w:r>
        <w:rPr>
          <w:rFonts w:ascii="Times New Roman" w:hAnsi="Times New Roman" w:cs="Times New Roman"/>
          <w:b/>
          <w:sz w:val="26"/>
          <w:szCs w:val="26"/>
        </w:rPr>
        <w:t>1.6 Разработка серверной части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>Серверная часть реализована в приложении videos. Основная модель VideoJob хранит загруженный файл, исходный язык, целевой язык перевода, статус обработки, оригинальный SRT, переведенный SRT, сообщение об ошибке и временные метки создания/обновления.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/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>Форма VideoUploadForm отвечает за прием файла и выбор параметров обработки. После отправки формы view создает задание и вызывает функцию process_video_job. Данная функция переводит задание в статус обработки, вызывает модуль распознавания, затем модуль перевода и сохраняет результат.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/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>Распознавание выполняется функцией transcribe_to_srt. Она загружает локальную модель faster-whisper, передает ей путь к медиафайлу и формирует SRT-сегменты на основе начала и конца каждой распознанной реплики. Для перевода используется функция translate_srt, которая разбирает SRT, нормализует языковые коды, переводит текст сегментов и заново собирает SRT-файл.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/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>Для повышения надежности добавлена нормализация языковых кодов. Например, значения English, английский и en приводятся к единому коду en. Аналогично поддерживаются ru, es, de, fr, it, pt, zh, ja и ko.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/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>Пример ключевых функций серверной части представлен ниже: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/>
      </w:r>
    </w:p>
    <w:p>
      <w:pPr>
        <w:spacing w:after="0" w:line="360" w:lineRule="auto"/>
      </w:pPr>
      <w:r>
        <w:rPr>
          <w:rFonts w:ascii="Courier New" w:hAnsi="Courier New" w:cs="Courier New"/>
          <w:sz w:val="20"/>
          <w:szCs w:val="20"/>
        </w:rPr>
        <w:t>process_video_job(job) -&gt; создает полный цикл обработки задания</w:t>
      </w:r>
    </w:p>
    <w:p>
      <w:pPr>
        <w:spacing w:after="0" w:line="360" w:lineRule="auto"/>
      </w:pPr>
      <w:r>
        <w:rPr>
          <w:rFonts w:ascii="Courier New" w:hAnsi="Courier New" w:cs="Courier New"/>
          <w:sz w:val="20"/>
          <w:szCs w:val="20"/>
        </w:rPr>
        <w:t>transcribe_to_srt(media_path, source_language) -&gt; формирует исходный SRT</w:t>
      </w:r>
    </w:p>
    <w:p>
      <w:pPr>
        <w:spacing w:after="0" w:line="360" w:lineRule="auto"/>
      </w:pPr>
      <w:r>
        <w:rPr>
          <w:rFonts w:ascii="Courier New" w:hAnsi="Courier New" w:cs="Courier New"/>
          <w:sz w:val="20"/>
          <w:szCs w:val="20"/>
        </w:rPr>
        <w:t>translate_srt(srt_text, source_language, target_language) -&gt; переводит SRT</w:t>
      </w:r>
    </w:p>
    <w:p>
      <w:pPr>
        <w:spacing w:after="0" w:line="360" w:lineRule="auto"/>
      </w:pPr>
      <w:r>
        <w:rPr>
          <w:rFonts w:ascii="Courier New" w:hAnsi="Courier New" w:cs="Courier New"/>
          <w:sz w:val="20"/>
          <w:szCs w:val="20"/>
        </w:rPr>
        <w:t>parse_srt(srt_text) / render_srt(segments) -&gt; разбирают и собирают формат SRT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/>
      </w:r>
    </w:p>
    <w:p>
      <w:pPr>
        <w:spacing w:after="180" w:line="360" w:lineRule="auto"/>
      </w:pPr>
      <w:r>
        <w:rPr>
          <w:rFonts w:ascii="Times New Roman" w:hAnsi="Times New Roman" w:cs="Times New Roman"/>
          <w:b/>
          <w:sz w:val="26"/>
          <w:szCs w:val="26"/>
        </w:rPr>
        <w:t>1.7 Разработка клиентской части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>Клиентская часть реализована средствами Django Templates, HTML и CSS. Главная страница содержит форму создания задания: поле загрузки файла, поле исходного языка и список целевых языков перевода. Также отображается список последних заданий и их текущий статус.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/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>Страница задания показывает имя файла, язык видео, язык перевода, дату создания и статус обработки. При успешном завершении отображаются две области предпросмотра: оригинальные субтитры и переведенные субтитры. Пользователь может скачать оба файла в формате SRT.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/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>Для оформления интерфейса создан файл styles.css. В нем описаны сетка рабочей области, панели, статусы заданий, кнопки, поля формы, предпросмотр SRT и адаптивное поведение для мобильных экранов. Интерфейс сделан простым и прикладным, без отдельной сборки frontend-приложения.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/>
      </w:r>
    </w:p>
    <w:p>
      <w:pPr>
        <w:spacing w:after="180" w:line="360" w:lineRule="auto"/>
      </w:pPr>
      <w:r>
        <w:rPr>
          <w:rFonts w:ascii="Times New Roman" w:hAnsi="Times New Roman" w:cs="Times New Roman"/>
          <w:b/>
          <w:sz w:val="26"/>
          <w:szCs w:val="26"/>
        </w:rPr>
        <w:t>1.8 Проектирование базы данных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>Для хранения данных используется SQLite. В рамках проекта достаточно одной основной таблицы, соответствующей модели VideoJob. Структура таблицы представлена в таблице 5.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/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>Таблица 5 - Структура модели VideoJob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/>
      </w:r>
    </w:p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Поле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Тип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Назначение</w:t>
            </w:r>
          </w:p>
        </w:tc>
      </w:tr>
      <w:tr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id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BigAutoField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Уникальный идентификатор задания</w:t>
            </w:r>
          </w:p>
        </w:tc>
      </w:tr>
      <w:tr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input_file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FileField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Путь к загруженному видео или аудио</w:t>
            </w:r>
          </w:p>
        </w:tc>
      </w:tr>
      <w:tr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source_language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CharField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Исходный язык или результат автоопределения</w:t>
            </w:r>
          </w:p>
        </w:tc>
      </w:tr>
      <w:tr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target_language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CharField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Код языка перевода</w:t>
            </w:r>
          </w:p>
        </w:tc>
      </w:tr>
      <w:tr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status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CharField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Состояние задания: queued, processing, done, failed</w:t>
            </w:r>
          </w:p>
        </w:tc>
      </w:tr>
      <w:tr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original_srt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TextField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Сформированные исходные субтитры</w:t>
            </w:r>
          </w:p>
        </w:tc>
      </w:tr>
      <w:tr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translated_srt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TextField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Переведенные субтитры</w:t>
            </w:r>
          </w:p>
        </w:tc>
      </w:tr>
      <w:tr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error_message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TextField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Описание ошибки обработки</w:t>
            </w:r>
          </w:p>
        </w:tc>
      </w:tr>
      <w:tr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created_at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DateTimeField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Дата и время создания</w:t>
            </w:r>
          </w:p>
        </w:tc>
      </w:tr>
      <w:tr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updated_at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DateTimeField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Дата и время последнего изменения</w:t>
            </w:r>
          </w:p>
        </w:tc>
      </w:tr>
    </w:tbl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/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>Использование ORM Django позволяет работать с данными через модель Python-класса, не формируя SQL-запросы вручную. Миграция videos.0001_initial создает таблицу VideoJob и обеспечивает повторяемое развертывание базы данных.</w:t>
      </w:r>
    </w:p>
    <w:p>
      <w:r>
        <w:br w:type="page"/>
      </w:r>
    </w:p>
    <w:p>
      <w:pPr>
        <w:spacing w:after="18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>2 ТЕСТИРОВАНИЕ И ЭКСПЛУАТАЦИЯ</w:t>
      </w:r>
    </w:p>
    <w:p>
      <w:pPr>
        <w:spacing w:after="180" w:line="360" w:lineRule="auto"/>
      </w:pPr>
      <w:r>
        <w:rPr>
          <w:rFonts w:ascii="Times New Roman" w:hAnsi="Times New Roman" w:cs="Times New Roman"/>
          <w:b/>
          <w:sz w:val="26"/>
          <w:szCs w:val="26"/>
        </w:rPr>
        <w:t>2.1 Тестирование обработки входных данных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>Для проверки корректности работы приложения были разработаны автоматические тесты Django. Тестирование сфокусировано на функциях, от которых зависит корректность обработки пользовательских файлов: разбор и сборка SRT, форматирование временных меток, нормализация языковых кодов, загрузка файла через форму и скачивание результата.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/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>Отдельное внимание уделено негативным сценариям, связанным с неоднозначным вводом языка. Например, приложение должно корректно обработать значение English и преобразовать его в код en, чтобы библиотека Argos Translate искала пакет en, а не english.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/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>Таблица 6 - Проверяемые сценарии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/>
      </w:r>
    </w:p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Сценарий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Ожидаемый результат</w:t>
            </w:r>
          </w:p>
        </w:tc>
      </w:tr>
      <w:tr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Разбор SRT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Функция parse_srt возвращает список сегментов с текстом и временными метками</w:t>
            </w:r>
          </w:p>
        </w:tc>
      </w:tr>
      <w:tr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Сборка SRT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Функция render_srt корректно перенумеровывает сегменты</w:t>
            </w:r>
          </w:p>
        </w:tc>
      </w:tr>
      <w:tr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Формат времени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Значение 3723.456 преобразуется в 01:02:03,456</w:t>
            </w:r>
          </w:p>
        </w:tc>
      </w:tr>
      <w:tr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Нормализация языка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English преобразуется в en, Russian - в ru</w:t>
            </w:r>
          </w:p>
        </w:tc>
      </w:tr>
      <w:tr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Загрузка файла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POST-запрос создает объект VideoJob и перенаправляет на страницу задания</w:t>
            </w:r>
          </w:p>
        </w:tc>
      </w:tr>
      <w:tr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Скачивание результата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Переведенный SRT отдается пользователю как файл</w:t>
            </w:r>
          </w:p>
        </w:tc>
      </w:tr>
    </w:tbl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/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>В результате выполнения команды python manage.py test было запущено 7 тестов. Все тесты завершились успешно, что подтверждает корректность базовых сценариев работы приложения.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/>
      </w:r>
    </w:p>
    <w:p>
      <w:pPr>
        <w:spacing w:after="180" w:line="360" w:lineRule="auto"/>
      </w:pPr>
      <w:r>
        <w:rPr>
          <w:rFonts w:ascii="Times New Roman" w:hAnsi="Times New Roman" w:cs="Times New Roman"/>
          <w:b/>
          <w:sz w:val="26"/>
          <w:szCs w:val="26"/>
        </w:rPr>
        <w:t>2.2 Контейнеризация приложения с использованием Docker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>Для упрощения запуска и воспроизводимости окружения приложения был создан Dockerfile. Контейнеризация позволяет запустить сервис на другой машине без ручной установки Python-зависимостей и системных библиотек.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/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>Dockerfile основан на образе python:3.9-slim. В контейнер устанавливаются ffmpeg и libgomp1, затем копируется requirements.txt, устанавливаются Python-зависимости, копируется исходный код и создаются директории для медиафайлов и кэша моделей.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/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>Фрагмент Dockerfile представлен ниже: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/>
      </w:r>
    </w:p>
    <w:p>
      <w:pPr>
        <w:spacing w:after="0" w:line="360" w:lineRule="auto"/>
      </w:pPr>
      <w:r>
        <w:rPr>
          <w:rFonts w:ascii="Courier New" w:hAnsi="Courier New" w:cs="Courier New"/>
          <w:sz w:val="20"/>
          <w:szCs w:val="20"/>
        </w:rPr>
        <w:t>FROM python:3.9-slim</w:t>
      </w:r>
    </w:p>
    <w:p>
      <w:pPr>
        <w:spacing w:after="0" w:line="360" w:lineRule="auto"/>
      </w:pPr>
      <w:r>
        <w:rPr>
          <w:rFonts w:ascii="Courier New" w:hAnsi="Courier New" w:cs="Courier New"/>
          <w:sz w:val="20"/>
          <w:szCs w:val="20"/>
        </w:rPr>
        <w:t>WORKDIR /app</w:t>
      </w:r>
    </w:p>
    <w:p>
      <w:pPr>
        <w:spacing w:after="0" w:line="360" w:lineRule="auto"/>
      </w:pPr>
      <w:r>
        <w:rPr>
          <w:rFonts w:ascii="Courier New" w:hAnsi="Courier New" w:cs="Courier New"/>
          <w:sz w:val="20"/>
          <w:szCs w:val="20"/>
        </w:rPr>
        <w:t>RUN apt-get update &amp;&amp; apt-get install -y --no-install-recommends ffmpeg libgomp1</w:t>
      </w:r>
    </w:p>
    <w:p>
      <w:pPr>
        <w:spacing w:after="0" w:line="360" w:lineRule="auto"/>
      </w:pPr>
      <w:r>
        <w:rPr>
          <w:rFonts w:ascii="Courier New" w:hAnsi="Courier New" w:cs="Courier New"/>
          <w:sz w:val="20"/>
          <w:szCs w:val="20"/>
        </w:rPr>
        <w:t>COPY requirements.txt .</w:t>
      </w:r>
    </w:p>
    <w:p>
      <w:pPr>
        <w:spacing w:after="0" w:line="360" w:lineRule="auto"/>
      </w:pPr>
      <w:r>
        <w:rPr>
          <w:rFonts w:ascii="Courier New" w:hAnsi="Courier New" w:cs="Courier New"/>
          <w:sz w:val="20"/>
          <w:szCs w:val="20"/>
        </w:rPr>
        <w:t>RUN python -m pip install --upgrade pip &amp;&amp; pip install --no-cache-dir -r requirements.txt</w:t>
      </w:r>
    </w:p>
    <w:p>
      <w:pPr>
        <w:spacing w:after="0" w:line="360" w:lineRule="auto"/>
      </w:pPr>
      <w:r>
        <w:rPr>
          <w:rFonts w:ascii="Courier New" w:hAnsi="Courier New" w:cs="Courier New"/>
          <w:sz w:val="20"/>
          <w:szCs w:val="20"/>
        </w:rPr>
        <w:t>COPY . .</w:t>
      </w:r>
    </w:p>
    <w:p>
      <w:pPr>
        <w:spacing w:after="0" w:line="360" w:lineRule="auto"/>
      </w:pPr>
      <w:r>
        <w:rPr>
          <w:rFonts w:ascii="Courier New" w:hAnsi="Courier New" w:cs="Courier New"/>
          <w:sz w:val="20"/>
          <w:szCs w:val="20"/>
        </w:rPr>
        <w:t>EXPOSE 8000</w:t>
      </w:r>
    </w:p>
    <w:p>
      <w:pPr>
        <w:spacing w:after="0" w:line="360" w:lineRule="auto"/>
      </w:pPr>
      <w:r>
        <w:rPr>
          <w:rFonts w:ascii="Courier New" w:hAnsi="Courier New" w:cs="Courier New"/>
          <w:sz w:val="20"/>
          <w:szCs w:val="20"/>
        </w:rPr>
        <w:t>CMD ["sh", "-c", "python manage.py migrate &amp;&amp; python manage.py runserver 0.0.0.0:8000"]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/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>Для исключения служебных файлов из образа создан файл .dockerignore. В него добавлены .env, локальная база db.sqlite3, директория media, виртуальное окружение, кэш Python и файлы сборки.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/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>Контейнер запускается командами: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/>
      </w:r>
    </w:p>
    <w:p>
      <w:pPr>
        <w:spacing w:after="0" w:line="360" w:lineRule="auto"/>
      </w:pPr>
      <w:r>
        <w:rPr>
          <w:rFonts w:ascii="Courier New" w:hAnsi="Courier New" w:cs="Courier New"/>
          <w:sz w:val="20"/>
          <w:szCs w:val="20"/>
        </w:rPr>
        <w:t>docker build -t subtitle-service .</w:t>
      </w:r>
    </w:p>
    <w:p>
      <w:pPr>
        <w:spacing w:after="0" w:line="360" w:lineRule="auto"/>
      </w:pPr>
      <w:r>
        <w:rPr>
          <w:rFonts w:ascii="Courier New" w:hAnsi="Courier New" w:cs="Courier New"/>
          <w:sz w:val="20"/>
          <w:szCs w:val="20"/>
        </w:rPr>
        <w:t>docker run --rm -p 8000:8000 -v subtitle_data:/data subtitle-service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/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>Volume subtitle_data используется для сохранения SQLite-базы, загруженных файлов и скачанных моделей между перезапусками контейнера.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/>
      </w:r>
    </w:p>
    <w:p>
      <w:pPr>
        <w:spacing w:after="180" w:line="360" w:lineRule="auto"/>
      </w:pPr>
      <w:r>
        <w:rPr>
          <w:rFonts w:ascii="Times New Roman" w:hAnsi="Times New Roman" w:cs="Times New Roman"/>
          <w:b/>
          <w:sz w:val="26"/>
          <w:szCs w:val="26"/>
        </w:rPr>
        <w:t>2.3 Подготовка проекта к размещению в GitHub и развёртыванию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>Проект подготовлен к размещению в системе контроля версий. Для этого создан файл .gitignore, исключающий из репозитория .env, виртуальное окружение, локальную базу SQLite, медиафайлы, статические сборки и кэш Python. Такой подход предотвращает публикацию секретных данных и временных файлов.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/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>Для развёртывания на сервере достаточно загрузить исходный код проекта, установить Docker, собрать образ и запустить контейнер с постоянным volume. Настройки приложения передаются через переменные окружения: SQLITE_DATABASE_PATH, MEDIA_ROOT, LOCAL_WHISPER_MODEL, LOCAL_WHISPER_DEVICE, LOCAL_WHISPER_COMPUTE_TYPE, LOCAL_WHISPER_BEAM_SIZE и ARGOS_AUTO_INSTALL.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/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>Первый запуск на сервере может занять продолжительное время, поскольку faster-whisper и Argos Translate скачивают модели и языковые пакеты. После загрузки моделей повторные обработки выполняются быстрее, так как данные сохраняются в volume.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/>
      </w:r>
    </w:p>
    <w:p>
      <w:pPr>
        <w:spacing w:after="180" w:line="360" w:lineRule="auto"/>
      </w:pPr>
      <w:r>
        <w:rPr>
          <w:rFonts w:ascii="Times New Roman" w:hAnsi="Times New Roman" w:cs="Times New Roman"/>
          <w:b/>
          <w:sz w:val="26"/>
          <w:szCs w:val="26"/>
        </w:rPr>
        <w:t>2.4 Тестирование системы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>Функциональная проверка системы включает запуск Django-проекта, открытие главной страницы, создание задания, обработку файла, просмотр результата и скачивание SRT. В ходе разработки была проверена доступность главной страницы через локальный сервер: приложение возвращало HTTP 200.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/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>Основные пользовательские сценарии представлены в таблице 7.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/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>Таблица 7 - Пользовательские сценарии тестирования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/>
      </w:r>
    </w:p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№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Сценарий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Ожидаемый результат</w:t>
            </w:r>
          </w:p>
        </w:tc>
      </w:tr>
      <w:tr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Открытие главной страницы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Отображается форма загрузки и список последних заданий</w:t>
            </w:r>
          </w:p>
        </w:tc>
      </w:tr>
      <w:tr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Загрузка видео или аудио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Создается объект задания и начинается обработка</w:t>
            </w:r>
          </w:p>
        </w:tc>
      </w:tr>
      <w:tr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Автоопределение языка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Whisper определяет язык при пустом поле или auto</w:t>
            </w:r>
          </w:p>
        </w:tc>
      </w:tr>
      <w:tr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Перевод субтитров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Argos Translate переводит сегменты SRT на целевой язык</w:t>
            </w:r>
          </w:p>
        </w:tc>
      </w:tr>
      <w:tr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Ошибка обработки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Задание получает статус failed и показывает сообщение об ошибке</w:t>
            </w:r>
          </w:p>
        </w:tc>
      </w:tr>
      <w:tr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Повтор задания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Пользователь может повторно запустить обработку</w:t>
            </w:r>
          </w:p>
        </w:tc>
      </w:tr>
      <w:tr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Скачивание SRT</w:t>
            </w:r>
          </w:p>
        </w:tc>
        <w:tc>
          <w:tcPr>
            <w:tcW w:w="2400" w:type="dxa"/>
          </w:tcPr>
          <w:p>
            <w:pPr>
              <w:spacing w:after="60" w:line="36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Браузер получает файл subtitles-&lt;id&gt;-translated.srt или original.srt</w:t>
            </w:r>
          </w:p>
        </w:tc>
      </w:tr>
    </w:tbl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/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>Результаты тестирования показали, что приложение корректно выполняет основные операции и имеет понятные сообщения об ошибках. Ограничением текущей версии является синхронная обработка файла в рамках HTTP-запроса; для больших видео в будущем целесообразно добавить очередь задач, например Celery или Django-Q.</w:t>
      </w:r>
    </w:p>
    <w:p>
      <w:r>
        <w:br w:type="page"/>
      </w:r>
    </w:p>
    <w:p>
      <w:pPr>
        <w:spacing w:after="18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>ЗАКЛЮЧЕНИЕ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>В ходе курсовой работы был спроектирован и реализован сервис автоматической генерации субтитров и перевода для видео. Достигнута поставленная цель: создано работоспособное Django-приложение, позволяющее загружать медиафайлы, выполнять локальное распознавание речи, переводить полученные субтитры и скачивать результат в формате SRT.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/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>На основе анализа предметной области были определены ключевые требования к системе: простота запуска, отсутствие платного API, поддержка загрузки видео и аудио, генерация оригинальных и переведенных субтитров, хранение заданий и возможность контейнерного запуска. Для реализации выбран стек Python + Django + SQLite + faster-whisper + Argos Translate + Docker.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/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>Серверная часть реализует полный цикл обработки задания: сохранение файла, распознавание речи, формирование SRT, перевод сегментов, сохранение результата и выдачу файлов пользователю. Клиентская часть реализована с использованием Django Templates и CSS, что позволило создать простой интерфейс без отдельного frontend-фреймворка.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/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>Проект покрыт базовыми автоматическими тестами. Проверены функции обработки SRT, нормализация языков, загрузка файла и скачивание результата. Приложение также подготовлено к контейнерному запуску с использованием Dockerfile и volume для хранения данных.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/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>Разработанное решение обладает практической значимостью как бесплатный локальный инструмент для подготовки субтитров. Архитектура приложения допускает дальнейшее развитие: добавление фоновой очереди задач, прогресса обработки, поддержки VTT, редактирования субтитров в браузере и улучшения качества перевода за счет альтернативных локальных моделей.</w:t>
      </w:r>
    </w:p>
    <w:p>
      <w:r>
        <w:br w:type="page"/>
      </w:r>
    </w:p>
    <w:p>
      <w:pPr>
        <w:spacing w:after="18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>СПИСОК ИСПОЛЬЗОВАННЫХ ИСТОЧНИКОВ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>Django Documentation [Электронный ресурс]. - Режим доступа: https://docs.djangoproject.com/en/4.0/contents/ (дата обращения: 16.05.2026).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/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>Python 3 Documentation [Электронный ресурс]. - Режим доступа: https://docs.python.org/3/ (дата обращения: 16.05.2026).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/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>SQLite Documentation [Электронный ресурс]. - Режим доступа: https://www.sqlite.org/docs.html (дата обращения: 16.05.2026).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/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>Docker Documentation [Электронный ресурс]. - Режим доступа: https://docs.docker.com/ (дата обращения: 16.05.2026).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/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>SYSTRAN faster-whisper [Электронный ресурс]. - Режим доступа: https://github.com/SYSTRAN/faster-whisper (дата обращения: 16.05.2026).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/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>Argos Translate Documentation [Электронный ресурс]. - Режим доступа: https://argos-translate.readthedocs.io/ (дата обращения: 16.05.2026).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/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>MDN Web Docs: HTML [Электронный ресурс]. - Режим доступа: https://developer.mozilla.org/docs/Web/HTML (дата обращения: 16.05.2026).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/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>MDN Web Docs: CSS [Электронный ресурс]. - Режим доступа: https://developer.mozilla.org/docs/Web/CSS (дата обращения: 16.05.2026).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/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>Radford A. et al. Robust Speech Recognition via Large-Scale Weak Supervision [Электронный ресурс]. - Режим доступа: https://cdn.openai.com/papers/whisper.pdf (дата обращения: 16.05.2026).</w:t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/>
      </w:r>
    </w:p>
    <w:p>
      <w:pPr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>Соммервилл И. Инженерия программного обеспечения / И. Соммервилл. - 10-е изд. - Москва : Вильямс, 2019. - 816 с.</w:t>
      </w:r>
    </w:p>
    <w:sectPr>
      <w:footerReference r:id="rId40" w:type="default"/>
      <w:footerReference r:id="rId41" w:type="first"/>
      <w:footerReference r:id="rId42" w:type="even"/>
      <w:type w:val="nextPage"/>
      <w:pgSz w:h="16838" w:w="11906" w:orient="portrait"/>
      <w:pgMar w:bottom="1133.8582677165355" w:top="1133.8582677165355" w:left="1700.7874015748032" w:right="850.3937007874016" w:header="0" w:footer="118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Gungsuh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3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4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4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4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4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B">
    <w:pPr>
      <w:rPr>
        <w:highlight w:val="white"/>
      </w:rPr>
    </w:pPr>
    <w:r w:rsidDel="00000000" w:rsidR="00000000" w:rsidRPr="00000000">
      <w:rPr>
        <w:highlight w:val="whit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)"/>
      <w:lvlJc w:val="left"/>
      <w:pPr>
        <w:ind w:left="1080" w:hanging="360"/>
      </w:pPr>
      <w:rPr/>
    </w:lvl>
    <w:lvl w:ilvl="2">
      <w:start w:val="1"/>
      <w:numFmt w:val="lowerRoman"/>
      <w:lvlText w:val="%3)"/>
      <w:lvlJc w:val="right"/>
      <w:pPr>
        <w:ind w:left="1440" w:hanging="360"/>
      </w:pPr>
      <w:rPr/>
    </w:lvl>
    <w:lvl w:ilvl="3">
      <w:start w:val="1"/>
      <w:numFmt w:val="decimal"/>
      <w:lvlText w:val="(%4)"/>
      <w:lvlJc w:val="left"/>
      <w:pPr>
        <w:ind w:left="1800" w:hanging="360"/>
      </w:pPr>
      <w:rPr/>
    </w:lvl>
    <w:lvl w:ilvl="4">
      <w:start w:val="1"/>
      <w:numFmt w:val="lowerLetter"/>
      <w:lvlText w:val="(%5)"/>
      <w:lvlJc w:val="left"/>
      <w:pPr>
        <w:ind w:left="2160" w:hanging="360"/>
      </w:pPr>
      <w:rPr/>
    </w:lvl>
    <w:lvl w:ilvl="5">
      <w:start w:val="1"/>
      <w:numFmt w:val="lowerRoman"/>
      <w:lvlText w:val="(%6)"/>
      <w:lvlJc w:val="righ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lowerLetter"/>
      <w:lvlText w:val="%8."/>
      <w:lvlJc w:val="left"/>
      <w:pPr>
        <w:ind w:left="3240" w:hanging="360"/>
      </w:pPr>
      <w:rPr/>
    </w:lvl>
    <w:lvl w:ilvl="8">
      <w:start w:val="1"/>
      <w:numFmt w:val="lowerRoman"/>
      <w:lvlText w:val="%9."/>
      <w:lvlJc w:val="right"/>
      <w:pPr>
        <w:ind w:left="3600" w:hanging="360"/>
      </w:pPr>
      <w:rPr/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)"/>
      <w:lvlJc w:val="left"/>
      <w:pPr>
        <w:ind w:left="1080" w:hanging="360"/>
      </w:pPr>
      <w:rPr/>
    </w:lvl>
    <w:lvl w:ilvl="2">
      <w:start w:val="1"/>
      <w:numFmt w:val="lowerRoman"/>
      <w:lvlText w:val="%3)"/>
      <w:lvlJc w:val="right"/>
      <w:pPr>
        <w:ind w:left="1440" w:hanging="360"/>
      </w:pPr>
      <w:rPr/>
    </w:lvl>
    <w:lvl w:ilvl="3">
      <w:start w:val="1"/>
      <w:numFmt w:val="decimal"/>
      <w:lvlText w:val="(%4)"/>
      <w:lvlJc w:val="left"/>
      <w:pPr>
        <w:ind w:left="1800" w:hanging="360"/>
      </w:pPr>
      <w:rPr/>
    </w:lvl>
    <w:lvl w:ilvl="4">
      <w:start w:val="1"/>
      <w:numFmt w:val="lowerLetter"/>
      <w:lvlText w:val="(%5)"/>
      <w:lvlJc w:val="left"/>
      <w:pPr>
        <w:ind w:left="2160" w:hanging="360"/>
      </w:pPr>
      <w:rPr/>
    </w:lvl>
    <w:lvl w:ilvl="5">
      <w:start w:val="1"/>
      <w:numFmt w:val="lowerRoman"/>
      <w:lvlText w:val="(%6)"/>
      <w:lvlJc w:val="righ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lowerLetter"/>
      <w:lvlText w:val="%8."/>
      <w:lvlJc w:val="left"/>
      <w:pPr>
        <w:ind w:left="3240" w:hanging="360"/>
      </w:pPr>
      <w:rPr/>
    </w:lvl>
    <w:lvl w:ilvl="8">
      <w:start w:val="1"/>
      <w:numFmt w:val="lowerRoman"/>
      <w:lvlText w:val="%9."/>
      <w:lvlJc w:val="right"/>
      <w:pPr>
        <w:ind w:left="3600" w:hanging="360"/>
      </w:pPr>
      <w:rPr/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)"/>
      <w:lvlJc w:val="left"/>
      <w:pPr>
        <w:ind w:left="1080" w:hanging="360"/>
      </w:pPr>
      <w:rPr/>
    </w:lvl>
    <w:lvl w:ilvl="2">
      <w:start w:val="1"/>
      <w:numFmt w:val="lowerRoman"/>
      <w:lvlText w:val="%3)"/>
      <w:lvlJc w:val="right"/>
      <w:pPr>
        <w:ind w:left="1440" w:hanging="360"/>
      </w:pPr>
      <w:rPr/>
    </w:lvl>
    <w:lvl w:ilvl="3">
      <w:start w:val="1"/>
      <w:numFmt w:val="decimal"/>
      <w:lvlText w:val="(%4)"/>
      <w:lvlJc w:val="left"/>
      <w:pPr>
        <w:ind w:left="1800" w:hanging="360"/>
      </w:pPr>
      <w:rPr/>
    </w:lvl>
    <w:lvl w:ilvl="4">
      <w:start w:val="1"/>
      <w:numFmt w:val="lowerLetter"/>
      <w:lvlText w:val="(%5)"/>
      <w:lvlJc w:val="left"/>
      <w:pPr>
        <w:ind w:left="2160" w:hanging="360"/>
      </w:pPr>
      <w:rPr/>
    </w:lvl>
    <w:lvl w:ilvl="5">
      <w:start w:val="1"/>
      <w:numFmt w:val="lowerRoman"/>
      <w:lvlText w:val="(%6)"/>
      <w:lvlJc w:val="righ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lowerLetter"/>
      <w:lvlText w:val="%8."/>
      <w:lvlJc w:val="left"/>
      <w:pPr>
        <w:ind w:left="3240" w:hanging="360"/>
      </w:pPr>
      <w:rPr/>
    </w:lvl>
    <w:lvl w:ilvl="8">
      <w:start w:val="1"/>
      <w:numFmt w:val="lowerRoman"/>
      <w:lvlText w:val="%9."/>
      <w:lvlJc w:val="right"/>
      <w:pPr>
        <w:ind w:left="3600" w:hanging="360"/>
      </w:pPr>
      <w:rPr/>
    </w:lvl>
  </w:abstractNum>
  <w:abstractNum w:abstractNumId="4">
    <w:lvl w:ilvl="0">
      <w:start w:val="1"/>
      <w:numFmt w:val="decimal"/>
      <w:lvlText w:val="%1"/>
      <w:lvlJc w:val="left"/>
      <w:pPr>
        <w:ind w:left="992.1259842519685" w:firstLine="0"/>
      </w:pPr>
      <w:rPr>
        <w:rFonts w:ascii="Times New Roman" w:cs="Times New Roman" w:eastAsia="Times New Roman" w:hAnsi="Times New Roman"/>
        <w:sz w:val="36"/>
        <w:szCs w:val="36"/>
      </w:rPr>
    </w:lvl>
    <w:lvl w:ilvl="1">
      <w:start w:val="1"/>
      <w:numFmt w:val="decimal"/>
      <w:lvlText w:val="%1.%2"/>
      <w:lvlJc w:val="left"/>
      <w:pPr>
        <w:ind w:left="878" w:hanging="646"/>
      </w:pPr>
      <w:rPr>
        <w:rFonts w:ascii="Times New Roman" w:cs="Times New Roman" w:eastAsia="Times New Roman" w:hAnsi="Times New Roman"/>
        <w:sz w:val="28"/>
        <w:szCs w:val="28"/>
      </w:rPr>
    </w:lvl>
    <w:lvl w:ilvl="2">
      <w:start w:val="1"/>
      <w:numFmt w:val="decimal"/>
      <w:lvlText w:val="%1.%2.%3"/>
      <w:lvlJc w:val="left"/>
      <w:pPr>
        <w:ind w:left="1099" w:hanging="867"/>
      </w:pPr>
      <w:rPr>
        <w:rFonts w:ascii="Times New Roman" w:cs="Times New Roman" w:eastAsia="Times New Roman" w:hAnsi="Times New Roman"/>
        <w:b w:val="1"/>
        <w:bCs w:val="1"/>
        <w:sz w:val="28"/>
        <w:szCs w:val="28"/>
      </w:rPr>
    </w:lvl>
    <w:lvl w:ilvl="3">
      <w:start w:val="1"/>
      <w:numFmt w:val="decimal"/>
      <w:lvlText w:val="%4"/>
      <w:lvlJc w:val="left"/>
      <w:pPr>
        <w:ind w:left="1183" w:hanging="272"/>
      </w:pPr>
      <w:rPr>
        <w:rFonts w:ascii="Times New Roman" w:cs="Times New Roman" w:eastAsia="Times New Roman" w:hAnsi="Times New Roman"/>
        <w:b w:val="1"/>
        <w:bCs w:val="1"/>
        <w:sz w:val="36"/>
        <w:szCs w:val="36"/>
      </w:rPr>
    </w:lvl>
    <w:lvl w:ilvl="4">
      <w:start w:val="1"/>
      <w:numFmt w:val="decimal"/>
      <w:lvlText w:val="%4.%5"/>
      <w:lvlJc w:val="left"/>
      <w:pPr>
        <w:ind w:left="1190" w:hanging="480"/>
      </w:pPr>
      <w:rPr>
        <w:rFonts w:ascii="Times New Roman" w:cs="Times New Roman" w:eastAsia="Times New Roman" w:hAnsi="Times New Roman"/>
        <w:b w:val="1"/>
        <w:bCs w:val="1"/>
        <w:sz w:val="28"/>
        <w:szCs w:val="28"/>
      </w:rPr>
    </w:lvl>
    <w:lvl w:ilvl="5">
      <w:start w:val="1"/>
      <w:numFmt w:val="decimal"/>
      <w:lvlText w:val="%4.%5.%6"/>
      <w:lvlJc w:val="left"/>
      <w:pPr>
        <w:ind w:left="1543" w:hanging="631.9999999999998"/>
      </w:pPr>
      <w:rPr>
        <w:rFonts w:ascii="Times New Roman" w:cs="Times New Roman" w:eastAsia="Times New Roman" w:hAnsi="Times New Roman"/>
        <w:b w:val="1"/>
        <w:bCs w:val="1"/>
        <w:sz w:val="28"/>
        <w:szCs w:val="28"/>
      </w:rPr>
    </w:lvl>
    <w:lvl w:ilvl="6">
      <w:start w:val="0"/>
      <w:numFmt w:val="bullet"/>
      <w:lvlText w:val="●"/>
      <w:lvlJc w:val="left"/>
      <w:pPr>
        <w:ind w:left="4448" w:hanging="632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●"/>
      <w:lvlJc w:val="left"/>
      <w:pPr>
        <w:ind w:left="5903" w:hanging="632.0000000000009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7357" w:hanging="632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lowerLetter"/>
      <w:lvlText w:val="%5."/>
      <w:lvlJc w:val="left"/>
      <w:pPr>
        <w:ind w:left="2160" w:hanging="360"/>
      </w:pPr>
      <w:rPr/>
    </w:lvl>
    <w:lvl w:ilvl="5">
      <w:start w:val="1"/>
      <w:numFmt w:val="lowerRoman"/>
      <w:lvlText w:val="%6."/>
      <w:lvlJc w:val="righ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lowerLetter"/>
      <w:lvlText w:val="%8."/>
      <w:lvlJc w:val="left"/>
      <w:pPr>
        <w:ind w:left="3240" w:hanging="360"/>
      </w:pPr>
      <w:rPr/>
    </w:lvl>
    <w:lvl w:ilvl="8">
      <w:start w:val="1"/>
      <w:numFmt w:val="lowerRoman"/>
      <w:lvlText w:val="%9."/>
      <w:lvlJc w:val="right"/>
      <w:pPr>
        <w:ind w:left="3600" w:hanging="360"/>
      </w:pPr>
      <w:rPr/>
    </w:lvl>
  </w:abstractNum>
  <w:abstractNum w:abstractNumId="6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)"/>
      <w:lvlJc w:val="left"/>
      <w:pPr>
        <w:ind w:left="1080" w:hanging="360"/>
      </w:pPr>
      <w:rPr/>
    </w:lvl>
    <w:lvl w:ilvl="2">
      <w:start w:val="1"/>
      <w:numFmt w:val="lowerRoman"/>
      <w:lvlText w:val="%3)"/>
      <w:lvlJc w:val="right"/>
      <w:pPr>
        <w:ind w:left="1440" w:hanging="360"/>
      </w:pPr>
      <w:rPr/>
    </w:lvl>
    <w:lvl w:ilvl="3">
      <w:start w:val="1"/>
      <w:numFmt w:val="decimal"/>
      <w:lvlText w:val="(%4)"/>
      <w:lvlJc w:val="left"/>
      <w:pPr>
        <w:ind w:left="1800" w:hanging="360"/>
      </w:pPr>
      <w:rPr/>
    </w:lvl>
    <w:lvl w:ilvl="4">
      <w:start w:val="1"/>
      <w:numFmt w:val="lowerLetter"/>
      <w:lvlText w:val="(%5)"/>
      <w:lvlJc w:val="left"/>
      <w:pPr>
        <w:ind w:left="2160" w:hanging="360"/>
      </w:pPr>
      <w:rPr/>
    </w:lvl>
    <w:lvl w:ilvl="5">
      <w:start w:val="1"/>
      <w:numFmt w:val="lowerRoman"/>
      <w:lvlText w:val="(%6)"/>
      <w:lvlJc w:val="righ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lowerLetter"/>
      <w:lvlText w:val="%8."/>
      <w:lvlJc w:val="left"/>
      <w:pPr>
        <w:ind w:left="3240" w:hanging="360"/>
      </w:pPr>
      <w:rPr/>
    </w:lvl>
    <w:lvl w:ilvl="8">
      <w:start w:val="1"/>
      <w:numFmt w:val="lowerRoman"/>
      <w:lvlText w:val="%9."/>
      <w:lvlJc w:val="right"/>
      <w:pPr>
        <w:ind w:left="3600" w:hanging="360"/>
      </w:pPr>
      <w:rPr/>
    </w:lvl>
  </w:abstractNum>
  <w:abstractNum w:abstractNumId="7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)"/>
      <w:lvlJc w:val="left"/>
      <w:pPr>
        <w:ind w:left="1080" w:hanging="360"/>
      </w:pPr>
      <w:rPr/>
    </w:lvl>
    <w:lvl w:ilvl="2">
      <w:start w:val="1"/>
      <w:numFmt w:val="lowerRoman"/>
      <w:lvlText w:val="%3)"/>
      <w:lvlJc w:val="right"/>
      <w:pPr>
        <w:ind w:left="1440" w:hanging="360"/>
      </w:pPr>
      <w:rPr/>
    </w:lvl>
    <w:lvl w:ilvl="3">
      <w:start w:val="1"/>
      <w:numFmt w:val="decimal"/>
      <w:lvlText w:val="(%4)"/>
      <w:lvlJc w:val="left"/>
      <w:pPr>
        <w:ind w:left="1800" w:hanging="360"/>
      </w:pPr>
      <w:rPr/>
    </w:lvl>
    <w:lvl w:ilvl="4">
      <w:start w:val="1"/>
      <w:numFmt w:val="lowerLetter"/>
      <w:lvlText w:val="(%5)"/>
      <w:lvlJc w:val="left"/>
      <w:pPr>
        <w:ind w:left="2160" w:hanging="360"/>
      </w:pPr>
      <w:rPr/>
    </w:lvl>
    <w:lvl w:ilvl="5">
      <w:start w:val="1"/>
      <w:numFmt w:val="lowerRoman"/>
      <w:lvlText w:val="(%6)"/>
      <w:lvlJc w:val="righ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lowerLetter"/>
      <w:lvlText w:val="%8."/>
      <w:lvlJc w:val="left"/>
      <w:pPr>
        <w:ind w:left="3240" w:hanging="360"/>
      </w:pPr>
      <w:rPr/>
    </w:lvl>
    <w:lvl w:ilvl="8">
      <w:start w:val="1"/>
      <w:numFmt w:val="lowerRoman"/>
      <w:lvlText w:val="%9."/>
      <w:lvlJc w:val="right"/>
      <w:pPr>
        <w:ind w:left="3600" w:hanging="360"/>
      </w:pPr>
      <w:rPr/>
    </w:lvl>
  </w:abstractNum>
  <w:abstractNum w:abstractNumId="8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)"/>
      <w:lvlJc w:val="left"/>
      <w:pPr>
        <w:ind w:left="1080" w:hanging="360"/>
      </w:pPr>
      <w:rPr/>
    </w:lvl>
    <w:lvl w:ilvl="2">
      <w:start w:val="1"/>
      <w:numFmt w:val="lowerRoman"/>
      <w:lvlText w:val="%3)"/>
      <w:lvlJc w:val="right"/>
      <w:pPr>
        <w:ind w:left="1440" w:hanging="360"/>
      </w:pPr>
      <w:rPr/>
    </w:lvl>
    <w:lvl w:ilvl="3">
      <w:start w:val="1"/>
      <w:numFmt w:val="decimal"/>
      <w:lvlText w:val="(%4)"/>
      <w:lvlJc w:val="left"/>
      <w:pPr>
        <w:ind w:left="1800" w:hanging="360"/>
      </w:pPr>
      <w:rPr/>
    </w:lvl>
    <w:lvl w:ilvl="4">
      <w:start w:val="1"/>
      <w:numFmt w:val="lowerLetter"/>
      <w:lvlText w:val="(%5)"/>
      <w:lvlJc w:val="left"/>
      <w:pPr>
        <w:ind w:left="2160" w:hanging="360"/>
      </w:pPr>
      <w:rPr/>
    </w:lvl>
    <w:lvl w:ilvl="5">
      <w:start w:val="1"/>
      <w:numFmt w:val="lowerRoman"/>
      <w:lvlText w:val="(%6)"/>
      <w:lvlJc w:val="righ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lowerLetter"/>
      <w:lvlText w:val="%8."/>
      <w:lvlJc w:val="left"/>
      <w:pPr>
        <w:ind w:left="3240" w:hanging="360"/>
      </w:pPr>
      <w:rPr/>
    </w:lvl>
    <w:lvl w:ilvl="8">
      <w:start w:val="1"/>
      <w:numFmt w:val="lowerRoman"/>
      <w:lvlText w:val="%9."/>
      <w:lvlJc w:val="right"/>
      <w:pPr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0" w:before="70" w:lineRule="auto"/>
      <w:ind w:left="921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70" w:lineRule="auto"/>
      <w:ind w:left="283.46456692913375" w:firstLine="708.6614173228347"/>
      <w:jc w:val="both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before="70" w:lineRule="auto"/>
      <w:ind w:left="878" w:firstLine="0"/>
      <w:jc w:val="both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footer" Target="footer10.xml"/><Relationship Id="rId20" Type="http://schemas.openxmlformats.org/officeDocument/2006/relationships/image" Target="media/image4.png"/><Relationship Id="rId42" Type="http://schemas.openxmlformats.org/officeDocument/2006/relationships/footer" Target="footer12.xml"/><Relationship Id="rId41" Type="http://schemas.openxmlformats.org/officeDocument/2006/relationships/footer" Target="footer11.xml"/><Relationship Id="rId22" Type="http://schemas.openxmlformats.org/officeDocument/2006/relationships/image" Target="media/image13.png"/><Relationship Id="rId21" Type="http://schemas.openxmlformats.org/officeDocument/2006/relationships/image" Target="media/image7.png"/><Relationship Id="rId24" Type="http://schemas.openxmlformats.org/officeDocument/2006/relationships/image" Target="media/image10.png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26" Type="http://schemas.openxmlformats.org/officeDocument/2006/relationships/image" Target="media/image12.png"/><Relationship Id="rId25" Type="http://schemas.openxmlformats.org/officeDocument/2006/relationships/image" Target="media/image6.png"/><Relationship Id="rId28" Type="http://schemas.openxmlformats.org/officeDocument/2006/relationships/footer" Target="footer7.xml"/><Relationship Id="rId27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footer" Target="footer8.xml"/><Relationship Id="rId7" Type="http://schemas.openxmlformats.org/officeDocument/2006/relationships/image" Target="media/image14.png"/><Relationship Id="rId8" Type="http://schemas.openxmlformats.org/officeDocument/2006/relationships/header" Target="header1.xml"/><Relationship Id="rId31" Type="http://schemas.openxmlformats.org/officeDocument/2006/relationships/hyperlink" Target="https://e.lanbook.com/book/414950" TargetMode="External"/><Relationship Id="rId30" Type="http://schemas.openxmlformats.org/officeDocument/2006/relationships/footer" Target="footer9.xml"/><Relationship Id="rId11" Type="http://schemas.openxmlformats.org/officeDocument/2006/relationships/footer" Target="footer3.xml"/><Relationship Id="rId33" Type="http://schemas.openxmlformats.org/officeDocument/2006/relationships/hyperlink" Target="https://react.dev/" TargetMode="External"/><Relationship Id="rId10" Type="http://schemas.openxmlformats.org/officeDocument/2006/relationships/footer" Target="footer2.xml"/><Relationship Id="rId32" Type="http://schemas.openxmlformats.org/officeDocument/2006/relationships/hyperlink" Target="https://react.dev/" TargetMode="External"/><Relationship Id="rId13" Type="http://schemas.openxmlformats.org/officeDocument/2006/relationships/footer" Target="footer13.xml"/><Relationship Id="rId35" Type="http://schemas.openxmlformats.org/officeDocument/2006/relationships/hyperlink" Target="https://expressjs.com/" TargetMode="External"/><Relationship Id="rId12" Type="http://schemas.openxmlformats.org/officeDocument/2006/relationships/image" Target="media/image11.png"/><Relationship Id="rId34" Type="http://schemas.openxmlformats.org/officeDocument/2006/relationships/hyperlink" Target="https://nodejs.org/en/docs" TargetMode="External"/><Relationship Id="rId15" Type="http://schemas.openxmlformats.org/officeDocument/2006/relationships/footer" Target="footer5.xml"/><Relationship Id="rId37" Type="http://schemas.openxmlformats.org/officeDocument/2006/relationships/hyperlink" Target="https://docs.docker.com/" TargetMode="External"/><Relationship Id="rId14" Type="http://schemas.openxmlformats.org/officeDocument/2006/relationships/footer" Target="footer4.xml"/><Relationship Id="rId36" Type="http://schemas.openxmlformats.org/officeDocument/2006/relationships/hyperlink" Target="https://www.mongodb.com/docs/" TargetMode="External"/><Relationship Id="rId17" Type="http://schemas.openxmlformats.org/officeDocument/2006/relationships/image" Target="media/image9.png"/><Relationship Id="rId39" Type="http://schemas.openxmlformats.org/officeDocument/2006/relationships/hyperlink" Target="https://jestjs.io/docs/getting-started" TargetMode="External"/><Relationship Id="rId16" Type="http://schemas.openxmlformats.org/officeDocument/2006/relationships/footer" Target="footer6.xml"/><Relationship Id="rId38" Type="http://schemas.openxmlformats.org/officeDocument/2006/relationships/hyperlink" Target="https://docs.github.com/" TargetMode="External"/><Relationship Id="rId19" Type="http://schemas.openxmlformats.org/officeDocument/2006/relationships/image" Target="media/image5.png"/><Relationship Id="rId1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