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66"/>
          <w:sz w:val="48"/>
        </w:rPr>
        <w:t>AutoPrint Enterprise System</w:t>
        <w:br/>
        <w:t>Software Development Life Cycle (SDLC) Specification</w:t>
      </w:r>
    </w:p>
    <w:p>
      <w:pPr>
        <w:jc w:val="center"/>
      </w:pPr>
      <w:r>
        <w:rPr>
          <w:i/>
          <w:color w:val="666666"/>
          <w:sz w:val="24"/>
        </w:rPr>
        <w:t>Requirements • Design • Implementation • QA • Maintenance</w:t>
        <w:br/>
        <w:t>Standard Compliance Document</w:t>
      </w:r>
    </w:p>
    <w:p/>
    <w:p>
      <w:pPr>
        <w:pStyle w:val="Heading1"/>
      </w:pPr>
      <w:r>
        <w:rPr>
          <w:color w:val="003366"/>
        </w:rPr>
        <w:t>1. SDLC Methodology &amp; Fail-Safe Engineering</w:t>
      </w:r>
    </w:p>
    <w:p>
      <w:r>
        <w:t>The AutoPrint development workflow adheres to an iterative Agile-Waterframe model structured around fail-safe defensive engineering principles. Every transactional phase incorporates deterministic verification state machines, cryptographically secure code generation, and immutable audit logging.</w:t>
      </w:r>
    </w:p>
    <w:p>
      <w:pPr>
        <w:pStyle w:val="Heading1"/>
      </w:pPr>
      <w:r>
        <w:rPr>
          <w:color w:val="003366"/>
        </w:rPr>
        <w:t>2. Phase 1: Requirements Analysis &amp; Specifications</w:t>
      </w:r>
    </w:p>
    <w:p>
      <w:pPr>
        <w:pStyle w:val="ListBullet"/>
      </w:pPr>
      <w:r>
        <w:t>Functional Requirements:</w:t>
      </w:r>
    </w:p>
    <w:p>
      <w:pPr>
        <w:pStyle w:val="ListBullet2"/>
      </w:pPr>
      <w:r>
        <w:rPr>
          <w:b/>
        </w:rPr>
        <w:t xml:space="preserve">FR-1 Verification Code Generator: </w:t>
      </w:r>
      <w:r>
        <w:t>Generates 8-digit random codes with SHA-256 HMAC checksums.</w:t>
      </w:r>
    </w:p>
    <w:p>
      <w:pPr>
        <w:pStyle w:val="ListBullet2"/>
      </w:pPr>
      <w:r>
        <w:rPr>
          <w:b/>
        </w:rPr>
        <w:t xml:space="preserve">FR-2 Final Page Watermarking: </w:t>
      </w:r>
      <w:r>
        <w:t>Appends non-intrusive stamp containing code and checksum on document footers.</w:t>
      </w:r>
    </w:p>
    <w:p>
      <w:pPr>
        <w:pStyle w:val="ListBullet2"/>
      </w:pPr>
      <w:r>
        <w:rPr>
          <w:b/>
        </w:rPr>
        <w:t xml:space="preserve">FR-3 Fail-Safe 3-Strike Lockout: </w:t>
      </w:r>
      <w:r>
        <w:t>Locks payment method to counter cash collection after 3 failed digital attempts.</w:t>
      </w:r>
    </w:p>
    <w:p>
      <w:pPr>
        <w:pStyle w:val="Heading1"/>
      </w:pPr>
      <w:r>
        <w:rPr>
          <w:color w:val="003366"/>
        </w:rPr>
        <w:t>3. Phase 2: Architecture &amp; Data Modeling</w:t>
      </w:r>
    </w:p>
    <w:p>
      <w:r>
        <w:t>The backend verification engine maintains state machine transitions across PENDING, UPI_SUCCESS, UPI_FAILED, CASH_LOCKED, CASH_REQUIRED, CASH_COLLECTED, and HANDOVER_COLLECTED.</w:t>
      </w:r>
    </w:p>
    <w:p>
      <w:pPr>
        <w:pStyle w:val="Heading1"/>
      </w:pPr>
      <w:r>
        <w:rPr>
          <w:color w:val="003366"/>
        </w:rPr>
        <w:t>4. Phase 3: Implementation &amp; Security Standards</w:t>
      </w:r>
    </w:p>
    <w:p>
      <w:r>
        <w:t>Implementation relies on TypeScript strict type definitions, Web Cryptography API random sampling, and clean separation of business logic across controllers, services, and audit loggers.</w:t>
      </w:r>
    </w:p>
    <w:p>
      <w:pPr>
        <w:pStyle w:val="Heading1"/>
      </w:pPr>
      <w:r>
        <w:rPr>
          <w:color w:val="003366"/>
        </w:rPr>
        <w:t>5. Phase 4: Quality Assurance &amp; Testing Results</w:t>
      </w:r>
    </w:p>
    <w:p>
      <w:r>
        <w:t>Empirical automated test suites (test_runner.ts) execute end-to-end simulation of job submissions, code generation, 3-strike failure lockouts, counter cash collection, and audit event verification.</w:t>
      </w:r>
    </w:p>
    <w:p>
      <w:pPr>
        <w:pStyle w:val="Heading1"/>
      </w:pPr>
      <w:r>
        <w:rPr>
          <w:color w:val="003366"/>
        </w:rPr>
        <w:t>6. Phase 5: Deployment &amp; Operational Maintenance</w:t>
      </w:r>
    </w:p>
    <w:p>
      <w:r>
        <w:t>Production deployment utilizes automated Windows installer scripts (installer.bat, install.ps1) and Inno Setup executable wrappers (setup.iss) for background service setup.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