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8"/>
        </w:rPr>
        <w:t>AutoPrint Enterprise System</w:t>
        <w:br/>
        <w:t>Comprehensive Technical Documentation</w:t>
      </w:r>
    </w:p>
    <w:p>
      <w:pPr>
        <w:jc w:val="center"/>
      </w:pPr>
      <w:r>
        <w:rPr>
          <w:i/>
          <w:color w:val="666666"/>
          <w:sz w:val="24"/>
        </w:rPr>
        <w:t>Architecture • Installation • Operations • Guidelines</w:t>
        <w:br/>
        <w:t>Version 1.0.0 — Production Release</w:t>
      </w:r>
    </w:p>
    <w:p/>
    <w:p>
      <w:pPr>
        <w:pStyle w:val="Heading1"/>
      </w:pPr>
      <w:r>
        <w:rPr>
          <w:color w:val="003366"/>
        </w:rPr>
        <w:t>1. System Overview &amp; Objectives</w:t>
      </w:r>
    </w:p>
    <w:p>
      <w:r>
        <w:t>AutoPrint is an automated, fail-safe print collection and merchant management platform designed for print shops, retail counters, and self-service document kiosks. The system streamlines document submission, watermarking, verification code generation, payment processing, and document handover.</w:t>
      </w:r>
    </w:p>
    <w:p>
      <w:pPr>
        <w:pStyle w:val="ListBullet"/>
      </w:pPr>
      <w:r>
        <w:t>Key System Capabilities:</w:t>
      </w:r>
    </w:p>
    <w:p>
      <w:pPr>
        <w:pStyle w:val="ListBullet"/>
      </w:pPr>
      <w:r>
        <w:rPr>
          <w:b/>
        </w:rPr>
        <w:t xml:space="preserve">8-Digit Secure Verification Code: </w:t>
      </w:r>
      <w:r>
        <w:t>Cryptographically random 8-digit key (e.g. 4829 1057) generated per job with SHA-256 integrity checksum.</w:t>
      </w:r>
    </w:p>
    <w:p>
      <w:pPr>
        <w:pStyle w:val="ListBullet"/>
      </w:pPr>
      <w:r>
        <w:rPr>
          <w:b/>
        </w:rPr>
        <w:t xml:space="preserve">Automated Watermarking Overlay: </w:t>
      </w:r>
      <w:r>
        <w:t>Stamps verification key, checksum, and timestamp on the final page footer without disrupting page margins.</w:t>
      </w:r>
    </w:p>
    <w:p>
      <w:pPr>
        <w:pStyle w:val="ListBullet"/>
      </w:pPr>
      <w:r>
        <w:rPr>
          <w:b/>
        </w:rPr>
        <w:t xml:space="preserve">Fail-Safe 3-Strike Lockout Engine: </w:t>
      </w:r>
      <w:r>
        <w:t>Automatically locks digital payment options after 3 consecutive failures, enforcing mandatory counter cash collection.</w:t>
      </w:r>
    </w:p>
    <w:p>
      <w:pPr>
        <w:pStyle w:val="ListBullet"/>
      </w:pPr>
      <w:r>
        <w:rPr>
          <w:b/>
        </w:rPr>
        <w:t xml:space="preserve">Background Windows Service: </w:t>
      </w:r>
      <w:r>
        <w:t>Runs invisibly on configured ports with automated browser portal launching.</w:t>
      </w:r>
    </w:p>
    <w:p>
      <w:pPr>
        <w:pStyle w:val="Heading1"/>
      </w:pPr>
      <w:r>
        <w:rPr>
          <w:color w:val="003366"/>
        </w:rPr>
        <w:t>2. System Architecture &amp; Folder Layout</w:t>
      </w:r>
    </w:p>
    <w:p>
      <w:r>
        <w:t>The system enforces strict separation of concerns across backend REST services, merchant desktop terminals, and customer web applications.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Component Module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Technology Stack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</w:rPr>
              <w:t>Primary Responsibility</w:t>
            </w:r>
          </w:p>
        </w:tc>
      </w:tr>
      <w:tr>
        <w:tc>
          <w:tcPr>
            <w:tcW w:type="dxa" w:w="3120"/>
          </w:tcPr>
          <w:p>
            <w:r>
              <w:t>Backend Service</w:t>
            </w:r>
          </w:p>
        </w:tc>
        <w:tc>
          <w:tcPr>
            <w:tcW w:type="dxa" w:w="3120"/>
          </w:tcPr>
          <w:p>
            <w:r>
              <w:t>Node.js, Express, TypeScript</w:t>
            </w:r>
          </w:p>
        </w:tc>
        <w:tc>
          <w:tcPr>
            <w:tcW w:type="dxa" w:w="3120"/>
          </w:tcPr>
          <w:p>
            <w:r>
              <w:t>API routing, verification logic, 3-strike lockout, audit logs</w:t>
            </w:r>
          </w:p>
        </w:tc>
      </w:tr>
      <w:tr>
        <w:tc>
          <w:tcPr>
            <w:tcW w:type="dxa" w:w="3120"/>
            <w:shd w:fill="F2F4F7"/>
          </w:tcPr>
          <w:p>
            <w:r>
              <w:t>Merchant Desktop UI</w:t>
            </w:r>
          </w:p>
        </w:tc>
        <w:tc>
          <w:tcPr>
            <w:tcW w:type="dxa" w:w="3120"/>
            <w:shd w:fill="F2F4F7"/>
          </w:tcPr>
          <w:p>
            <w:r>
              <w:t>React, Vite, Electron Bridge</w:t>
            </w:r>
          </w:p>
        </w:tc>
        <w:tc>
          <w:tcPr>
            <w:tcW w:type="dxa" w:w="3120"/>
            <w:shd w:fill="F2F4F7"/>
          </w:tcPr>
          <w:p>
            <w:r>
              <w:t>Staff verification lookup, queue monitoring, cash reconciliation</w:t>
            </w:r>
          </w:p>
        </w:tc>
      </w:tr>
      <w:tr>
        <w:tc>
          <w:tcPr>
            <w:tcW w:type="dxa" w:w="3120"/>
          </w:tcPr>
          <w:p>
            <w:r>
              <w:t>Customer Web UI</w:t>
            </w:r>
          </w:p>
        </w:tc>
        <w:tc>
          <w:tcPr>
            <w:tcW w:type="dxa" w:w="3120"/>
          </w:tcPr>
          <w:p>
            <w:r>
              <w:t>React, Vite, TailwindCSS</w:t>
            </w:r>
          </w:p>
        </w:tc>
        <w:tc>
          <w:tcPr>
            <w:tcW w:type="dxa" w:w="3120"/>
          </w:tcPr>
          <w:p>
            <w:r>
              <w:t>Document upload, print spec selection, UPI payment, code display</w:t>
            </w:r>
          </w:p>
        </w:tc>
      </w:tr>
      <w:tr>
        <w:tc>
          <w:tcPr>
            <w:tcW w:type="dxa" w:w="3120"/>
            <w:shd w:fill="F2F4F7"/>
          </w:tcPr>
          <w:p>
            <w:r>
              <w:t>Database Layer</w:t>
            </w:r>
          </w:p>
        </w:tc>
        <w:tc>
          <w:tcPr>
            <w:tcW w:type="dxa" w:w="3120"/>
            <w:shd w:fill="F2F4F7"/>
          </w:tcPr>
          <w:p>
            <w:r>
              <w:t>In-Memory / Persistent JSON Store</w:t>
            </w:r>
          </w:p>
        </w:tc>
        <w:tc>
          <w:tcPr>
            <w:tcW w:type="dxa" w:w="3120"/>
            <w:shd w:fill="F2F4F7"/>
          </w:tcPr>
          <w:p>
            <w:r>
              <w:t>Storage of active jobs, verification records, and audit events</w:t>
            </w:r>
          </w:p>
        </w:tc>
      </w:tr>
    </w:tbl>
    <w:p/>
    <w:p>
      <w:pPr>
        <w:pStyle w:val="Heading1"/>
      </w:pPr>
      <w:r>
        <w:rPr>
          <w:color w:val="003366"/>
        </w:rPr>
        <w:t>3. Hardware &amp;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Resource Category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Minimum Requirement</w:t>
            </w:r>
          </w:p>
        </w:tc>
      </w:tr>
      <w:tr>
        <w:tc>
          <w:tcPr>
            <w:tcW w:type="dxa" w:w="4680"/>
          </w:tcPr>
          <w:p>
            <w:r>
              <w:t>Operating System</w:t>
            </w:r>
          </w:p>
        </w:tc>
        <w:tc>
          <w:tcPr>
            <w:tcW w:type="dxa" w:w="4680"/>
          </w:tcPr>
          <w:p>
            <w:r>
              <w:t>Windows 10 / Windows 11 (64-bit)</w:t>
            </w:r>
          </w:p>
        </w:tc>
      </w:tr>
      <w:tr>
        <w:tc>
          <w:tcPr>
            <w:tcW w:type="dxa" w:w="4680"/>
            <w:shd w:fill="F2F4F7"/>
          </w:tcPr>
          <w:p>
            <w:r>
              <w:t>Runtime Engine</w:t>
            </w:r>
          </w:p>
        </w:tc>
        <w:tc>
          <w:tcPr>
            <w:tcW w:type="dxa" w:w="4680"/>
            <w:shd w:fill="F2F4F7"/>
          </w:tcPr>
          <w:p>
            <w:r>
              <w:t>Node.js v18.0+ LTS or v20.0+ LTS</w:t>
            </w:r>
          </w:p>
        </w:tc>
      </w:tr>
      <w:tr>
        <w:tc>
          <w:tcPr>
            <w:tcW w:type="dxa" w:w="4680"/>
          </w:tcPr>
          <w:p>
            <w:r>
              <w:t>User Privileges</w:t>
            </w:r>
          </w:p>
        </w:tc>
        <w:tc>
          <w:tcPr>
            <w:tcW w:type="dxa" w:w="4680"/>
          </w:tcPr>
          <w:p>
            <w:r>
              <w:t>Administrator permissions (required for UAC folder setup)</w:t>
            </w:r>
          </w:p>
        </w:tc>
      </w:tr>
      <w:tr>
        <w:tc>
          <w:tcPr>
            <w:tcW w:type="dxa" w:w="4680"/>
            <w:shd w:fill="F2F4F7"/>
          </w:tcPr>
          <w:p>
            <w:r>
              <w:t>Network Ports</w:t>
            </w:r>
          </w:p>
        </w:tc>
        <w:tc>
          <w:tcPr>
            <w:tcW w:type="dxa" w:w="4680"/>
            <w:shd w:fill="F2F4F7"/>
          </w:tcPr>
          <w:p>
            <w:r>
              <w:t>Port 5000 (Backend), Port 3000 (Customer UI), Port 3001 (Merchant UI)</w:t>
            </w:r>
          </w:p>
        </w:tc>
      </w:tr>
    </w:tbl>
    <w:p/>
    <w:p>
      <w:pPr>
        <w:pStyle w:val="Heading1"/>
      </w:pPr>
      <w:r>
        <w:rPr>
          <w:color w:val="003366"/>
        </w:rPr>
        <w:t>4. Step-by-Step Installation Guide</w:t>
      </w:r>
    </w:p>
    <w:p>
      <w:pPr>
        <w:pStyle w:val="ListNumber"/>
      </w:pPr>
      <w:r>
        <w:t>Option 1: One-Click Windows Automated Setup</w:t>
      </w:r>
    </w:p>
    <w:p>
      <w:pPr>
        <w:pStyle w:val="ListBullet2"/>
      </w:pPr>
      <w:r>
        <w:t>1. Extract the downloaded release archive onto the target machine.</w:t>
      </w:r>
    </w:p>
    <w:p>
      <w:pPr>
        <w:pStyle w:val="ListBullet2"/>
      </w:pPr>
      <w:r>
        <w:t>2. Right-click installer.bat and choose 'Run as Administrator'.</w:t>
      </w:r>
    </w:p>
    <w:p>
      <w:pPr>
        <w:pStyle w:val="ListBullet2"/>
      </w:pPr>
      <w:r>
        <w:t>3. The installer provisions C:\AutoPrint and launches background services automatically.</w:t>
      </w:r>
    </w:p>
    <w:p>
      <w:pPr>
        <w:pStyle w:val="ListNumber"/>
      </w:pPr>
      <w:r>
        <w:t>Option 2: Executable Wizard Installer (.exe)</w:t>
      </w:r>
    </w:p>
    <w:p>
      <w:pPr>
        <w:pStyle w:val="ListBullet2"/>
      </w:pPr>
      <w:r>
        <w:t>1. Compile setup.iss using Inno Setup (iscc setup.iss).</w:t>
      </w:r>
    </w:p>
    <w:p>
      <w:pPr>
        <w:pStyle w:val="ListBullet2"/>
      </w:pPr>
      <w:r>
        <w:t>2. Run the generated AutoPrint_Setup_v1.0.0.exe installer.</w:t>
      </w:r>
    </w:p>
    <w:p>
      <w:pPr>
        <w:pStyle w:val="Heading1"/>
      </w:pPr>
      <w:r>
        <w:rPr>
          <w:color w:val="003366"/>
        </w:rPr>
        <w:t>5. Operational Guidelines: What to Do &amp; What NOT to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D32"/>
          </w:tcPr>
          <w:p>
            <w:r>
              <w:rPr>
                <w:b/>
                <w:color w:val="FFFFFF"/>
              </w:rPr>
              <w:t>WHAT TO DO (BEST PRACTICES)</w:t>
            </w:r>
          </w:p>
        </w:tc>
        <w:tc>
          <w:tcPr>
            <w:tcW w:type="dxa" w:w="4680"/>
            <w:shd w:fill="C62828"/>
          </w:tcPr>
          <w:p>
            <w:r>
              <w:rPr>
                <w:b/>
                <w:color w:val="FFFFFF"/>
              </w:rPr>
              <w:t>WHAT NOT TO DO (CRITICAL RESTRICTIONS)</w:t>
            </w:r>
          </w:p>
        </w:tc>
      </w:tr>
      <w:tr>
        <w:tc>
          <w:tcPr>
            <w:tcW w:type="dxa" w:w="4680"/>
          </w:tcPr>
          <w:p>
            <w:r>
              <w:t>✓ Always verify the physical printed document against the 8-digit verification code.</w:t>
            </w:r>
          </w:p>
        </w:tc>
        <w:tc>
          <w:tcPr>
            <w:tcW w:type="dxa" w:w="4680"/>
          </w:tcPr>
          <w:p>
            <w:r>
              <w:t>✗ DO NOT hand over printed documents before confirming payment or completing cash collection.</w:t>
            </w:r>
          </w:p>
        </w:tc>
      </w:tr>
      <w:tr>
        <w:tc>
          <w:tcPr>
            <w:tcW w:type="dxa" w:w="4680"/>
            <w:shd w:fill="F1F8E9"/>
          </w:tcPr>
          <w:p>
            <w:r>
              <w:t>✓ Ensure installer.bat is executed with Administrator privileges for directory binding.</w:t>
            </w:r>
          </w:p>
        </w:tc>
        <w:tc>
          <w:tcPr>
            <w:tcW w:type="dxa" w:w="4680"/>
            <w:shd w:fill="FFEBEE"/>
          </w:tcPr>
          <w:p>
            <w:r>
              <w:t>✗ DO NOT modify or delete runtime database files inside C:\AutoPrint\Data directly.</w:t>
            </w:r>
          </w:p>
        </w:tc>
      </w:tr>
      <w:tr>
        <w:tc>
          <w:tcPr>
            <w:tcW w:type="dxa" w:w="4680"/>
          </w:tcPr>
          <w:p>
            <w:r>
              <w:t>✓ Log counter staff interactions using assigned cashier credentials for audit compliance.</w:t>
            </w:r>
          </w:p>
        </w:tc>
        <w:tc>
          <w:tcPr>
            <w:tcW w:type="dxa" w:w="4680"/>
          </w:tcPr>
          <w:p>
            <w:r>
              <w:t>✗ DO NOT bypass the 3-strike cash lockout policy for customers with repeated digital failures.</w:t>
            </w:r>
          </w:p>
        </w:tc>
      </w:tr>
      <w:tr>
        <w:tc>
          <w:tcPr>
            <w:tcW w:type="dxa" w:w="4680"/>
            <w:shd w:fill="F1F8E9"/>
          </w:tcPr>
          <w:p>
            <w:r>
              <w:t>✓ Review daily audit logs in C:\AutoPrint\Logs\ for transaction reconciliation.</w:t>
            </w:r>
          </w:p>
        </w:tc>
        <w:tc>
          <w:tcPr>
            <w:tcW w:type="dxa" w:w="4680"/>
            <w:shd w:fill="FFEBEE"/>
          </w:tcPr>
          <w:p>
            <w:r>
              <w:t>✗ DO NOT change default network ports without updating appsettings.json across all services.</w:t>
            </w:r>
          </w:p>
        </w:tc>
      </w:tr>
      <w:tr>
        <w:tc>
          <w:tcPr>
            <w:tcW w:type="dxa" w:w="4680"/>
          </w:tcPr>
          <w:p>
            <w:r>
              <w:t>✓ Keep backup snapshots of C:\AutoPrint\Config\ for rapid disaster recovery.</w:t>
            </w:r>
          </w:p>
        </w:tc>
        <w:tc>
          <w:tcPr>
            <w:tcW w:type="dxa" w:w="4680"/>
          </w:tcPr>
          <w:p>
            <w:r>
              <w:t>✗ DO NOT run multiple instances of the backend service on conflicting ports.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