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9A9A5" w14:textId="77777777" w:rsidR="00E25484" w:rsidRDefault="00BC3830">
      <w:pPr>
        <w:shd w:val="clear" w:color="auto" w:fill="FFFFFF"/>
        <w:spacing w:before="240" w:after="240"/>
        <w:jc w:val="center"/>
        <w:rPr>
          <w:rFonts w:ascii="Nunito" w:eastAsia="Nunito" w:hAnsi="Nunito" w:cs="Nunito"/>
          <w:b/>
          <w:sz w:val="40"/>
          <w:szCs w:val="40"/>
        </w:rPr>
      </w:pPr>
      <w:proofErr w:type="spellStart"/>
      <w:r>
        <w:rPr>
          <w:rFonts w:ascii="Nunito" w:eastAsia="Nunito" w:hAnsi="Nunito" w:cs="Nunito"/>
          <w:b/>
          <w:sz w:val="40"/>
          <w:szCs w:val="40"/>
        </w:rPr>
        <w:t>Assignment</w:t>
      </w:r>
      <w:proofErr w:type="spellEnd"/>
      <w:r>
        <w:rPr>
          <w:rFonts w:ascii="Nunito" w:eastAsia="Nunito" w:hAnsi="Nunito" w:cs="Nunito"/>
          <w:b/>
          <w:sz w:val="40"/>
          <w:szCs w:val="40"/>
        </w:rPr>
        <w:t xml:space="preserve"> 1</w:t>
      </w:r>
    </w:p>
    <w:p w14:paraId="357DFF13" w14:textId="77777777" w:rsidR="00E25484" w:rsidRDefault="00BC3830">
      <w:pPr>
        <w:shd w:val="clear" w:color="auto" w:fill="FFFFFF"/>
        <w:spacing w:before="240" w:after="240"/>
        <w:jc w:val="center"/>
        <w:rPr>
          <w:rFonts w:ascii="Nunito" w:eastAsia="Nunito" w:hAnsi="Nunito" w:cs="Nunito"/>
          <w:sz w:val="28"/>
          <w:szCs w:val="28"/>
        </w:rPr>
      </w:pPr>
      <w:r>
        <w:rPr>
          <w:rFonts w:ascii="Nunito" w:eastAsia="Nunito" w:hAnsi="Nunito" w:cs="Nunito"/>
          <w:b/>
          <w:sz w:val="28"/>
          <w:szCs w:val="28"/>
        </w:rPr>
        <w:t xml:space="preserve">Fase 1: </w:t>
      </w:r>
      <w:r>
        <w:rPr>
          <w:rFonts w:ascii="Nunito" w:eastAsia="Nunito" w:hAnsi="Nunito" w:cs="Nunito"/>
          <w:sz w:val="28"/>
          <w:szCs w:val="28"/>
        </w:rPr>
        <w:t>Determinare la struttura di gestione del gruppo di progetto</w:t>
      </w:r>
    </w:p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1605"/>
        <w:gridCol w:w="1665"/>
        <w:gridCol w:w="2294"/>
      </w:tblGrid>
      <w:tr w:rsidR="00E25484" w14:paraId="072C1A4E" w14:textId="77777777">
        <w:trPr>
          <w:trHeight w:val="533"/>
          <w:jc w:val="center"/>
        </w:trPr>
        <w:tc>
          <w:tcPr>
            <w:tcW w:w="34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5777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  <w:t>Ruolo</w:t>
            </w:r>
          </w:p>
        </w:tc>
        <w:tc>
          <w:tcPr>
            <w:tcW w:w="160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B48B9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  <w:t>Cognome</w:t>
            </w:r>
          </w:p>
        </w:tc>
        <w:tc>
          <w:tcPr>
            <w:tcW w:w="16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1A88A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  <w:t>Nome</w:t>
            </w:r>
          </w:p>
        </w:tc>
        <w:tc>
          <w:tcPr>
            <w:tcW w:w="2294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8CF9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</w:pPr>
            <w:r>
              <w:rPr>
                <w:rFonts w:ascii="Nunito" w:eastAsia="Nunito" w:hAnsi="Nunito" w:cs="Nunito"/>
                <w:b/>
                <w:color w:val="FFFFFF"/>
                <w:sz w:val="30"/>
                <w:szCs w:val="30"/>
              </w:rPr>
              <w:t>Matricola</w:t>
            </w:r>
          </w:p>
        </w:tc>
      </w:tr>
      <w:tr w:rsidR="00E25484" w14:paraId="6C0D6162" w14:textId="77777777">
        <w:trPr>
          <w:jc w:val="center"/>
        </w:trPr>
        <w:tc>
          <w:tcPr>
            <w:tcW w:w="34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9E0C0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Manager del Gruppo</w:t>
            </w:r>
          </w:p>
        </w:tc>
        <w:tc>
          <w:tcPr>
            <w:tcW w:w="160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0B5B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Trinchese</w:t>
            </w:r>
          </w:p>
        </w:tc>
        <w:tc>
          <w:tcPr>
            <w:tcW w:w="16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0613A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Dario</w:t>
            </w:r>
          </w:p>
        </w:tc>
        <w:tc>
          <w:tcPr>
            <w:tcW w:w="2294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A645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0512107479</w:t>
            </w:r>
          </w:p>
        </w:tc>
      </w:tr>
      <w:tr w:rsidR="00E25484" w14:paraId="0B59D8A7" w14:textId="77777777">
        <w:trPr>
          <w:jc w:val="center"/>
        </w:trPr>
        <w:tc>
          <w:tcPr>
            <w:tcW w:w="34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DCEE8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Manager della valutazione</w:t>
            </w:r>
          </w:p>
        </w:tc>
        <w:tc>
          <w:tcPr>
            <w:tcW w:w="160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7801C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Antonio</w:t>
            </w:r>
          </w:p>
        </w:tc>
        <w:tc>
          <w:tcPr>
            <w:tcW w:w="16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A863D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Gravino</w:t>
            </w:r>
          </w:p>
        </w:tc>
        <w:tc>
          <w:tcPr>
            <w:tcW w:w="2294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CCAB9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0512107161</w:t>
            </w:r>
          </w:p>
        </w:tc>
      </w:tr>
      <w:tr w:rsidR="00E25484" w14:paraId="5A5E7384" w14:textId="77777777">
        <w:trPr>
          <w:jc w:val="center"/>
        </w:trPr>
        <w:tc>
          <w:tcPr>
            <w:tcW w:w="34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9300D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Manager della documentazione</w:t>
            </w:r>
          </w:p>
        </w:tc>
        <w:tc>
          <w:tcPr>
            <w:tcW w:w="160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50ABB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Carmine</w:t>
            </w:r>
          </w:p>
        </w:tc>
        <w:tc>
          <w:tcPr>
            <w:tcW w:w="16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9A7FC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Napolitano</w:t>
            </w:r>
          </w:p>
        </w:tc>
        <w:tc>
          <w:tcPr>
            <w:tcW w:w="2294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E58B9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0512106417</w:t>
            </w:r>
          </w:p>
        </w:tc>
      </w:tr>
      <w:tr w:rsidR="00E25484" w14:paraId="23FFD862" w14:textId="77777777">
        <w:trPr>
          <w:jc w:val="center"/>
        </w:trPr>
        <w:tc>
          <w:tcPr>
            <w:tcW w:w="34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285A3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Manager di progetto</w:t>
            </w:r>
          </w:p>
        </w:tc>
        <w:tc>
          <w:tcPr>
            <w:tcW w:w="160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DB3A0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Raffaele</w:t>
            </w:r>
          </w:p>
        </w:tc>
        <w:tc>
          <w:tcPr>
            <w:tcW w:w="1665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0F33E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Zheng</w:t>
            </w:r>
          </w:p>
        </w:tc>
        <w:tc>
          <w:tcPr>
            <w:tcW w:w="2294" w:type="dxa"/>
            <w:shd w:val="clear" w:color="auto" w:fill="B4C6E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5D80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0512109015</w:t>
            </w:r>
          </w:p>
        </w:tc>
      </w:tr>
      <w:tr w:rsidR="00E25484" w14:paraId="049B37C2" w14:textId="77777777">
        <w:trPr>
          <w:jc w:val="center"/>
        </w:trPr>
        <w:tc>
          <w:tcPr>
            <w:tcW w:w="34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FC1F" w14:textId="37A88FB5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Manager di progetto</w:t>
            </w:r>
          </w:p>
        </w:tc>
        <w:tc>
          <w:tcPr>
            <w:tcW w:w="160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106E7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Carmine</w:t>
            </w:r>
          </w:p>
        </w:tc>
        <w:tc>
          <w:tcPr>
            <w:tcW w:w="1665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2BD5C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Fabbri</w:t>
            </w:r>
          </w:p>
        </w:tc>
        <w:tc>
          <w:tcPr>
            <w:tcW w:w="2294" w:type="dxa"/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74C69" w14:textId="77777777" w:rsidR="00E25484" w:rsidRDefault="00BC38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0512107353</w:t>
            </w:r>
          </w:p>
        </w:tc>
      </w:tr>
    </w:tbl>
    <w:p w14:paraId="51B6B843" w14:textId="77777777" w:rsidR="00E25484" w:rsidRDefault="00E25484">
      <w:pPr>
        <w:shd w:val="clear" w:color="auto" w:fill="FFFFFF"/>
        <w:spacing w:before="240" w:after="240"/>
        <w:jc w:val="center"/>
        <w:rPr>
          <w:sz w:val="28"/>
          <w:szCs w:val="28"/>
        </w:rPr>
      </w:pPr>
    </w:p>
    <w:p w14:paraId="69C7B150" w14:textId="77777777" w:rsidR="00E25484" w:rsidRDefault="00E25484">
      <w:pPr>
        <w:shd w:val="clear" w:color="auto" w:fill="FFFFFF"/>
        <w:spacing w:before="240" w:after="240"/>
        <w:jc w:val="center"/>
        <w:rPr>
          <w:sz w:val="28"/>
          <w:szCs w:val="28"/>
        </w:rPr>
      </w:pPr>
    </w:p>
    <w:p w14:paraId="2CEA3523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300548D9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55C86B19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04C175C1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0CCF0E29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7E5EF257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1B83DD55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2CCEC4BF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135E9613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2EB023B5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36569133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320D1F14" w14:textId="77777777" w:rsidR="00E25484" w:rsidRDefault="00E25484">
      <w:pPr>
        <w:shd w:val="clear" w:color="auto" w:fill="FFFFFF"/>
        <w:spacing w:before="240" w:after="240"/>
        <w:rPr>
          <w:b/>
          <w:sz w:val="28"/>
          <w:szCs w:val="28"/>
        </w:rPr>
      </w:pPr>
    </w:p>
    <w:p w14:paraId="3C6E1C08" w14:textId="77777777" w:rsidR="00E25484" w:rsidRDefault="00BC3830">
      <w:pPr>
        <w:shd w:val="clear" w:color="auto" w:fill="FFFFFF"/>
        <w:spacing w:before="240" w:after="240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Fase 2: </w:t>
      </w:r>
      <w:r>
        <w:rPr>
          <w:sz w:val="28"/>
          <w:szCs w:val="28"/>
        </w:rPr>
        <w:t>Descrizione del problema</w:t>
      </w:r>
    </w:p>
    <w:p w14:paraId="6736299C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sz w:val="23"/>
          <w:szCs w:val="23"/>
        </w:rPr>
        <w:t>L’acqua è disponibile in quantità limitata e non tutti sembrano saperlo per davvero. I cambiamenti climatici, la crescita demografica, l’agricoltura industriale e un maggior consumo di carne stanno esacerbando la carenza d’acqua. L’applicazione del diritto</w:t>
      </w:r>
      <w:r>
        <w:rPr>
          <w:sz w:val="23"/>
          <w:szCs w:val="23"/>
        </w:rPr>
        <w:t xml:space="preserve"> umano all’acqua rappresenta una grande sfida. Seppur il 71% della superficie terrestre è ricoperta d’acqua, solo il 0.0003% di quest’ultima è dolce di cui meno di un terzo è dedicata all’economia, questo fattore unito ai problemi sopra citati costituiscon</w:t>
      </w:r>
      <w:r>
        <w:rPr>
          <w:sz w:val="23"/>
          <w:szCs w:val="23"/>
        </w:rPr>
        <w:t>o un quadro disastroso. Ciò che più preoccupa deriva dalla diretta osservazione dei grafici. Vediamo cosa si può dedurre dal grafico che segue: osservandolo possiamo subito notare come ci sia una diretta proporzionalità tra aumento demografico mondiale e p</w:t>
      </w:r>
      <w:r>
        <w:rPr>
          <w:sz w:val="23"/>
          <w:szCs w:val="23"/>
        </w:rPr>
        <w:t xml:space="preserve">relievo di acqua. </w:t>
      </w:r>
    </w:p>
    <w:p w14:paraId="23E7232F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noProof/>
          <w:sz w:val="23"/>
          <w:szCs w:val="23"/>
        </w:rPr>
        <w:drawing>
          <wp:inline distT="114300" distB="114300" distL="114300" distR="114300" wp14:anchorId="111B9FB8" wp14:editId="6BCB233E">
            <wp:extent cx="4814888" cy="22642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4888" cy="2264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3D8FEC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sz w:val="23"/>
          <w:szCs w:val="23"/>
        </w:rPr>
        <w:t>Questa proporzionalità era banalmente prevedibile, così come la proporzionalità tra i diversi tipi di consumi che resta pressoché identica col passare degli anni, fatta eccezione del lieve aumento del consumo d’acqua in ambito civile d</w:t>
      </w:r>
      <w:r>
        <w:rPr>
          <w:sz w:val="23"/>
          <w:szCs w:val="23"/>
        </w:rPr>
        <w:t>al 2050 in poi. Ciò che c’è da notare, seppur possa sembrare ovvio, è il fatto che la fetta maggiore del prelievo d’acqua spetta e spetterà sempre all’agricoltura. Sprecare acqua significa, direttamente o indirettamente, sabotare il nostro cibo, la qualità</w:t>
      </w:r>
      <w:r>
        <w:rPr>
          <w:sz w:val="23"/>
          <w:szCs w:val="23"/>
        </w:rPr>
        <w:t xml:space="preserve"> ma soprattutto la speranza di averne ancora a sufficienza. La sensibilizzazione all’argomento non è ancora sufficiente per dire con tranquillità che il mondo si sta muovendo nella direzione giusta. Qui è riportato un altro grafico, mostra le perdite idric</w:t>
      </w:r>
      <w:r>
        <w:rPr>
          <w:sz w:val="23"/>
          <w:szCs w:val="23"/>
        </w:rPr>
        <w:t xml:space="preserve">he per città italiane in valori </w:t>
      </w:r>
      <w:r>
        <w:rPr>
          <w:sz w:val="23"/>
          <w:szCs w:val="23"/>
        </w:rPr>
        <w:lastRenderedPageBreak/>
        <w:t xml:space="preserve">percentuali su volume immesso in rete, perdite dovute maggiormente da problemi delle reti idriche.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B13F3B6" wp14:editId="7779866C">
            <wp:simplePos x="0" y="0"/>
            <wp:positionH relativeFrom="column">
              <wp:posOffset>1</wp:posOffset>
            </wp:positionH>
            <wp:positionV relativeFrom="paragraph">
              <wp:posOffset>2314575</wp:posOffset>
            </wp:positionV>
            <wp:extent cx="4502647" cy="1851556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02647" cy="18515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5C7465F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sz w:val="23"/>
          <w:szCs w:val="23"/>
        </w:rPr>
        <w:t>L’incoscienza e/o la scarsa sensibilizzazione all’argomento da parte dei civili non è la sola ed unica piaga per la salvagu</w:t>
      </w:r>
      <w:r>
        <w:rPr>
          <w:sz w:val="23"/>
          <w:szCs w:val="23"/>
        </w:rPr>
        <w:t xml:space="preserve">ardia dell’acqua ma parte della responsabilità va anche sulle strutture che dell’acqua, prima ancora di eventualmente sprecarla, andrebbe distribuita efficacemente. </w:t>
      </w:r>
    </w:p>
    <w:p w14:paraId="58E38B3E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sz w:val="23"/>
          <w:szCs w:val="23"/>
        </w:rPr>
        <w:t xml:space="preserve">Se il problema dello spreco dell’acqua può sembrare ancora astratto e irraggiungibile, il </w:t>
      </w:r>
      <w:r>
        <w:rPr>
          <w:sz w:val="23"/>
          <w:szCs w:val="23"/>
        </w:rPr>
        <w:t>confronto con la realtà fa realizzare di quanto in realtà questo problema sia concreto, riguarda tutti noi, bussa alle nostre porte. È recentissima la notizia sulla crisi idrica in Lombardia. Il presidente della regione Attilio Fontana ha firmato un decret</w:t>
      </w:r>
      <w:r>
        <w:rPr>
          <w:sz w:val="23"/>
          <w:szCs w:val="23"/>
        </w:rPr>
        <w:t>o, valido fino al 30 settembre, che attiva il sistema regionale di protezione civile e raccomanda a tutti i cittadini "di utilizzare l'acqua in modo estremamente parsimonioso, sostenibile ed efficace, limitandone il consumo al minimo indispensabile". Bisog</w:t>
      </w:r>
      <w:r>
        <w:rPr>
          <w:sz w:val="23"/>
          <w:szCs w:val="23"/>
        </w:rPr>
        <w:t xml:space="preserve">na agire, ora. </w:t>
      </w:r>
    </w:p>
    <w:p w14:paraId="2C61B678" w14:textId="77777777" w:rsidR="00E25484" w:rsidRDefault="00BC3830">
      <w:pPr>
        <w:shd w:val="clear" w:color="auto" w:fill="FFFFFF"/>
        <w:spacing w:after="300"/>
        <w:rPr>
          <w:sz w:val="23"/>
          <w:szCs w:val="23"/>
        </w:rPr>
      </w:pPr>
      <w:r>
        <w:rPr>
          <w:sz w:val="23"/>
          <w:szCs w:val="23"/>
        </w:rPr>
        <w:t xml:space="preserve">Fortunatamente sempre più persone sono interessate ad aiutare il pianeta nel loro piccolo, evitando ogni spreco, limitandone l’uso, sensibilizzando amici e parenti ma la maggior parte di esse è scoraggiata nella fiducia che le loro piccole </w:t>
      </w:r>
      <w:r>
        <w:rPr>
          <w:sz w:val="23"/>
          <w:szCs w:val="23"/>
        </w:rPr>
        <w:t>azioni siano davvero corrisposte, si sentono soli in questa lotta e vedono il loro impegno bruciato da chi, disinteressato all’argomento, spreca acqua. Una piattaforma per la segnalazione di sprechi e inquinamenti, così come un luogo virtuale per il confro</w:t>
      </w:r>
      <w:r>
        <w:rPr>
          <w:sz w:val="23"/>
          <w:szCs w:val="23"/>
        </w:rPr>
        <w:t>nto e la sensibilizzazione, è uno dei modi per contrastare il grave problema dello spreco idrico.</w:t>
      </w:r>
    </w:p>
    <w:p w14:paraId="3BA1F77B" w14:textId="77777777" w:rsidR="00E25484" w:rsidRDefault="00E25484">
      <w:pPr>
        <w:shd w:val="clear" w:color="auto" w:fill="FFFFFF"/>
        <w:spacing w:after="300"/>
        <w:rPr>
          <w:sz w:val="23"/>
          <w:szCs w:val="23"/>
        </w:rPr>
      </w:pPr>
    </w:p>
    <w:p w14:paraId="4F9FF403" w14:textId="77777777" w:rsidR="00E25484" w:rsidRDefault="00E25484">
      <w:pPr>
        <w:shd w:val="clear" w:color="auto" w:fill="FFFFFF"/>
        <w:spacing w:after="300"/>
        <w:rPr>
          <w:sz w:val="23"/>
          <w:szCs w:val="23"/>
        </w:rPr>
      </w:pPr>
    </w:p>
    <w:p w14:paraId="4660F81F" w14:textId="77777777" w:rsidR="00E25484" w:rsidRDefault="00E25484">
      <w:pPr>
        <w:shd w:val="clear" w:color="auto" w:fill="FFFFFF"/>
        <w:spacing w:after="300"/>
        <w:rPr>
          <w:sz w:val="23"/>
          <w:szCs w:val="23"/>
        </w:rPr>
      </w:pPr>
    </w:p>
    <w:sectPr w:rsidR="00E254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5484"/>
    <w:rsid w:val="00BC3830"/>
    <w:rsid w:val="00E25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CDE43"/>
  <w15:docId w15:val="{EAAE49DA-DF38-4438-BDA8-1BF602B6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535</Words>
  <Characters>3051</Characters>
  <Application>Microsoft Office Word</Application>
  <DocSecurity>0</DocSecurity>
  <Lines>25</Lines>
  <Paragraphs>7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Antonio Gravino</cp:lastModifiedBy>
  <cp:revision>2</cp:revision>
  <dcterms:created xsi:type="dcterms:W3CDTF">2022-06-27T15:06:00Z</dcterms:created>
  <dcterms:modified xsi:type="dcterms:W3CDTF">2022-06-27T15:06:00Z</dcterms:modified>
</cp:coreProperties>
</file>