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sz w:val="26"/>
          <w:szCs w:val="26"/>
        </w:rPr>
      </w:pPr>
      <w:r w:rsidDel="00000000" w:rsidR="00000000" w:rsidRPr="00000000">
        <w:rPr>
          <w:sz w:val="26"/>
          <w:szCs w:val="26"/>
          <w:rtl w:val="0"/>
        </w:rPr>
        <w:t xml:space="preserve">The Worldbank_panel.xlsx file contains data from 2015 to 2018 for 90 countries.</w:t>
      </w:r>
    </w:p>
    <w:p w:rsidR="00000000" w:rsidDel="00000000" w:rsidP="00000000" w:rsidRDefault="00000000" w:rsidRPr="00000000" w14:paraId="00000002">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003">
      <w:pPr>
        <w:spacing w:after="0" w:line="240" w:lineRule="auto"/>
        <w:jc w:val="both"/>
        <w:rPr>
          <w:sz w:val="26"/>
          <w:szCs w:val="26"/>
        </w:rPr>
      </w:pPr>
      <w:r w:rsidDel="00000000" w:rsidR="00000000" w:rsidRPr="00000000">
        <w:rPr>
          <w:sz w:val="26"/>
          <w:szCs w:val="26"/>
          <w:rtl w:val="0"/>
        </w:rPr>
        <w:t xml:space="preserve">Variables: </w:t>
      </w:r>
    </w:p>
    <w:p w:rsidR="00000000" w:rsidDel="00000000" w:rsidP="00000000" w:rsidRDefault="00000000" w:rsidRPr="00000000" w14:paraId="00000004">
      <w:pPr>
        <w:spacing w:after="0" w:line="240" w:lineRule="auto"/>
        <w:jc w:val="both"/>
        <w:rPr>
          <w:sz w:val="26"/>
          <w:szCs w:val="26"/>
        </w:rPr>
      </w:pPr>
      <w:r w:rsidDel="00000000" w:rsidR="00000000" w:rsidRPr="00000000">
        <w:rPr>
          <w:rtl w:val="0"/>
        </w:rPr>
      </w:r>
    </w:p>
    <w:tbl>
      <w:tblPr>
        <w:tblStyle w:val="Table1"/>
        <w:tblW w:w="1502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4"/>
        <w:gridCol w:w="3563"/>
        <w:gridCol w:w="10064"/>
        <w:tblGridChange w:id="0">
          <w:tblGrid>
            <w:gridCol w:w="1394"/>
            <w:gridCol w:w="3563"/>
            <w:gridCol w:w="10064"/>
          </w:tblGrid>
        </w:tblGridChange>
      </w:tblGrid>
      <w:tr>
        <w:trPr>
          <w:cantSplit w:val="0"/>
          <w:trHeight w:val="57" w:hRule="atLeast"/>
          <w:tblHeader w:val="0"/>
        </w:trPr>
        <w:tc>
          <w:tcPr>
            <w:vAlign w:val="center"/>
          </w:tcPr>
          <w:p w:rsidR="00000000" w:rsidDel="00000000" w:rsidP="00000000" w:rsidRDefault="00000000" w:rsidRPr="00000000" w14:paraId="000000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vAlign w:val="center"/>
          </w:tcPr>
          <w:p w:rsidR="00000000" w:rsidDel="00000000" w:rsidP="00000000" w:rsidRDefault="00000000" w:rsidRPr="00000000" w14:paraId="000000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Short Description</w:t>
            </w:r>
          </w:p>
        </w:tc>
        <w:tc>
          <w:tcPr>
            <w:vAlign w:val="center"/>
          </w:tcPr>
          <w:p w:rsidR="00000000" w:rsidDel="00000000" w:rsidP="00000000" w:rsidRDefault="00000000" w:rsidRPr="00000000" w14:paraId="000000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Long description</w:t>
            </w:r>
          </w:p>
        </w:tc>
      </w:tr>
      <w:tr>
        <w:trPr>
          <w:cantSplit w:val="0"/>
          <w:trHeight w:val="57" w:hRule="atLeast"/>
          <w:tblHeader w:val="0"/>
        </w:trPr>
        <w:tc>
          <w:tcPr>
            <w:vAlign w:val="center"/>
          </w:tcPr>
          <w:p w:rsidR="00000000" w:rsidDel="00000000" w:rsidP="00000000" w:rsidRDefault="00000000" w:rsidRPr="00000000" w14:paraId="000000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w:t>
            </w:r>
          </w:p>
        </w:tc>
        <w:tc>
          <w:tcPr>
            <w:vAlign w:val="center"/>
          </w:tcPr>
          <w:p w:rsidR="00000000" w:rsidDel="00000000" w:rsidP="00000000" w:rsidRDefault="00000000" w:rsidRPr="00000000" w14:paraId="000000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Air transport, freight (million ton-km)</w:t>
            </w:r>
          </w:p>
        </w:tc>
        <w:tc>
          <w:tcPr>
            <w:vAlign w:val="center"/>
          </w:tcPr>
          <w:p w:rsidR="00000000" w:rsidDel="00000000" w:rsidP="00000000" w:rsidRDefault="00000000" w:rsidRPr="00000000" w14:paraId="000000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Air freight is the volume of freight, express, and diplomatic bags carried on each flight stage (operation of an aircraft from takeoff to its next landing), measured in metric tons times kilometers traveled.</w:t>
            </w:r>
          </w:p>
        </w:tc>
      </w:tr>
      <w:tr>
        <w:trPr>
          <w:cantSplit w:val="0"/>
          <w:trHeight w:val="57" w:hRule="atLeast"/>
          <w:tblHeader w:val="0"/>
        </w:trPr>
        <w:tc>
          <w:tcPr>
            <w:vAlign w:val="center"/>
          </w:tcPr>
          <w:p w:rsidR="00000000" w:rsidDel="00000000" w:rsidP="00000000" w:rsidRDefault="00000000" w:rsidRPr="00000000" w14:paraId="000000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w:t>
            </w:r>
          </w:p>
        </w:tc>
        <w:tc>
          <w:tcPr>
            <w:vAlign w:val="center"/>
          </w:tcPr>
          <w:p w:rsidR="00000000" w:rsidDel="00000000" w:rsidP="00000000" w:rsidRDefault="00000000" w:rsidRPr="00000000" w14:paraId="0000000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Air transport, passengers carried </w:t>
            </w:r>
          </w:p>
        </w:tc>
        <w:tc>
          <w:tcPr>
            <w:vAlign w:val="center"/>
          </w:tcPr>
          <w:p w:rsidR="00000000" w:rsidDel="00000000" w:rsidP="00000000" w:rsidRDefault="00000000" w:rsidRPr="00000000" w14:paraId="0000000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Air passengers carried include both domestic and international aircraft passengers of air carriers registered in the country.</w:t>
            </w:r>
          </w:p>
        </w:tc>
      </w:tr>
      <w:tr>
        <w:trPr>
          <w:cantSplit w:val="0"/>
          <w:trHeight w:val="57" w:hRule="atLeast"/>
          <w:tblHeader w:val="0"/>
        </w:trPr>
        <w:tc>
          <w:tcPr>
            <w:vAlign w:val="center"/>
          </w:tcPr>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w:t>
            </w:r>
          </w:p>
        </w:tc>
        <w:tc>
          <w:tcPr>
            <w:vAlign w:val="center"/>
          </w:tcPr>
          <w:p w:rsidR="00000000" w:rsidDel="00000000" w:rsidP="00000000" w:rsidRDefault="00000000" w:rsidRPr="00000000" w14:paraId="000000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Air transport, registered carrier departures worldwide </w:t>
            </w:r>
          </w:p>
        </w:tc>
        <w:tc>
          <w:tcPr>
            <w:vAlign w:val="center"/>
          </w:tcPr>
          <w:p w:rsidR="00000000" w:rsidDel="00000000" w:rsidP="00000000" w:rsidRDefault="00000000" w:rsidRPr="00000000" w14:paraId="000000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Registered carrier departures worldwide are domestic takeoffs and takeoffs abroad of air carriers registered in the country.</w:t>
            </w:r>
          </w:p>
        </w:tc>
      </w:tr>
      <w:tr>
        <w:trPr>
          <w:cantSplit w:val="0"/>
          <w:trHeight w:val="57" w:hRule="atLeast"/>
          <w:tblHeader w:val="0"/>
        </w:trPr>
        <w:tc>
          <w:tcPr>
            <w:vAlign w:val="center"/>
          </w:tcPr>
          <w:p w:rsidR="00000000" w:rsidDel="00000000" w:rsidP="00000000" w:rsidRDefault="00000000" w:rsidRPr="00000000" w14:paraId="000000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v4</w:t>
            </w:r>
          </w:p>
        </w:tc>
        <w:tc>
          <w:tcPr>
            <w:vAlign w:val="center"/>
          </w:tcPr>
          <w:p w:rsidR="00000000" w:rsidDel="00000000" w:rsidP="00000000" w:rsidRDefault="00000000" w:rsidRPr="00000000" w14:paraId="000000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Container port traffic (TEU: 20 foot equivalent units) </w:t>
            </w:r>
          </w:p>
        </w:tc>
        <w:tc>
          <w:tcPr>
            <w:vAlign w:val="center"/>
          </w:tcPr>
          <w:p w:rsidR="00000000" w:rsidDel="00000000" w:rsidP="00000000" w:rsidRDefault="00000000" w:rsidRPr="00000000" w14:paraId="000000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Port container traffic measures the flow of containers from land to sea transport modes, and vice versa, in twenty-foot equivalent units (TEUs), a standard-size container. Data refer to coastal shipping as well as international journeys. Transshipment traffic is counted as two lifts at the intermediate port (once to off-load and again as an outbound lift) and includes empty units.</w:t>
            </w:r>
          </w:p>
        </w:tc>
      </w:tr>
      <w:tr>
        <w:trPr>
          <w:cantSplit w:val="0"/>
          <w:trHeight w:val="57" w:hRule="atLeast"/>
          <w:tblHeader w:val="0"/>
        </w:trPr>
        <w:tc>
          <w:tcPr>
            <w:vAlign w:val="center"/>
          </w:tcPr>
          <w:p w:rsidR="00000000" w:rsidDel="00000000" w:rsidP="00000000" w:rsidRDefault="00000000" w:rsidRPr="00000000" w14:paraId="000000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v5</w:t>
            </w:r>
          </w:p>
        </w:tc>
        <w:tc>
          <w:tcPr>
            <w:vAlign w:val="center"/>
          </w:tcPr>
          <w:p w:rsidR="00000000" w:rsidDel="00000000" w:rsidP="00000000" w:rsidRDefault="00000000" w:rsidRPr="00000000" w14:paraId="000000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broadband subscriptions </w:t>
            </w:r>
          </w:p>
        </w:tc>
        <w:tc>
          <w:tcPr>
            <w:vAlign w:val="center"/>
          </w:tcPr>
          <w:p w:rsidR="00000000" w:rsidDel="00000000" w:rsidP="00000000" w:rsidRDefault="00000000" w:rsidRPr="00000000" w14:paraId="000000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broadband subscriptions refers to fixed subscriptions to high-speed access to the public Internet (a TCP/IP connection), at downstream speeds equal to, or greater than, 256 kbit/s. This includes cable modem, DSL, fiber-to-the-home/building,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tc>
      </w:tr>
      <w:tr>
        <w:trPr>
          <w:cantSplit w:val="0"/>
          <w:trHeight w:val="57" w:hRule="atLeast"/>
          <w:tblHeader w:val="0"/>
        </w:trPr>
        <w:tc>
          <w:tcPr>
            <w:vAlign w:val="center"/>
          </w:tcPr>
          <w:p w:rsidR="00000000" w:rsidDel="00000000" w:rsidP="00000000" w:rsidRDefault="00000000" w:rsidRPr="00000000" w14:paraId="000000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v6</w:t>
            </w:r>
          </w:p>
        </w:tc>
        <w:tc>
          <w:tcPr>
            <w:vAlign w:val="center"/>
          </w:tcPr>
          <w:p w:rsidR="00000000" w:rsidDel="00000000" w:rsidP="00000000" w:rsidRDefault="00000000" w:rsidRPr="00000000" w14:paraId="000000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broadband subscriptions (per 100 people)</w:t>
            </w:r>
          </w:p>
        </w:tc>
        <w:tc>
          <w:tcPr>
            <w:vAlign w:val="center"/>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broadband subscriptions refers to fixed subscriptions to high-speed access to the public Internet (a TCP/IP connection), at downstream speeds equal to, or greater than, 256 kbit/s. This includes cable modem, DSL, fiber-to-the-home/building,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tc>
      </w:tr>
      <w:tr>
        <w:trPr>
          <w:cantSplit w:val="0"/>
          <w:trHeight w:val="57" w:hRule="atLeast"/>
          <w:tblHeader w:val="0"/>
        </w:trPr>
        <w:tc>
          <w:tcPr>
            <w:vAlign w:val="center"/>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v7</w:t>
            </w:r>
          </w:p>
        </w:tc>
        <w:tc>
          <w:tcPr>
            <w:vAlign w:val="center"/>
          </w:tcPr>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telephone subscriptions</w:t>
            </w:r>
          </w:p>
        </w:tc>
        <w:tc>
          <w:tcPr>
            <w:vAlign w:val="center"/>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telephone subscriptions refers to the sum of active number of analogue fixed telephone lines, voice-over-IP (VoIP) subscriptions, fixed wireless local loop (WLL) subscriptions, ISDN voice-channel equivalents and fixed public payphones.</w:t>
            </w:r>
          </w:p>
        </w:tc>
      </w:tr>
      <w:tr>
        <w:trPr>
          <w:cantSplit w:val="0"/>
          <w:trHeight w:val="57" w:hRule="atLeast"/>
          <w:tblHeader w:val="0"/>
        </w:trPr>
        <w:tc>
          <w:tcPr>
            <w:vAlign w:val="center"/>
          </w:tcPr>
          <w:p w:rsidR="00000000" w:rsidDel="00000000" w:rsidP="00000000" w:rsidRDefault="00000000" w:rsidRPr="00000000" w14:paraId="000000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v8</w:t>
            </w:r>
          </w:p>
        </w:tc>
        <w:tc>
          <w:tcPr>
            <w:vAlign w:val="center"/>
          </w:tcPr>
          <w:p w:rsidR="00000000" w:rsidDel="00000000" w:rsidP="00000000" w:rsidRDefault="00000000" w:rsidRPr="00000000" w14:paraId="000000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telephone subscriptions (per 100 people)</w:t>
            </w:r>
          </w:p>
        </w:tc>
        <w:tc>
          <w:tcPr>
            <w:vAlign w:val="center"/>
          </w:tcPr>
          <w:p w:rsidR="00000000" w:rsidDel="00000000" w:rsidP="00000000" w:rsidRDefault="00000000" w:rsidRPr="00000000" w14:paraId="000000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Fixed telephone subscriptions refers to the sum of active number of analogue fixed telephone lines, voice-over-IP (VoIP) subscriptions, fixed wireless local loop (WLL) subscriptions, ISDN voice-channel equivalents and fixed public payphones.</w:t>
            </w:r>
          </w:p>
        </w:tc>
      </w:tr>
      <w:tr>
        <w:trPr>
          <w:cantSplit w:val="0"/>
          <w:trHeight w:val="57" w:hRule="atLeast"/>
          <w:tblHeader w:val="0"/>
        </w:trPr>
        <w:tc>
          <w:tcPr>
            <w:vAlign w:val="center"/>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v9</w:t>
            </w:r>
          </w:p>
        </w:tc>
        <w:tc>
          <w:tcPr>
            <w:vAlign w:val="center"/>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High-technology exports (% of manufactured exports) </w:t>
            </w:r>
          </w:p>
        </w:tc>
        <w:tc>
          <w:tcPr>
            <w:vAlign w:val="center"/>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High-technology exports are products with high R&amp;D intensity, such as in aerospace, computers, pharmaceuticals, scientific instruments, and electrical machinery.</w:t>
            </w:r>
          </w:p>
        </w:tc>
      </w:tr>
      <w:tr>
        <w:trPr>
          <w:cantSplit w:val="0"/>
          <w:trHeight w:val="57" w:hRule="atLeast"/>
          <w:tblHeader w:val="0"/>
        </w:trPr>
        <w:tc>
          <w:tcPr>
            <w:vAlign w:val="center"/>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v10</w:t>
            </w:r>
          </w:p>
        </w:tc>
        <w:tc>
          <w:tcPr>
            <w:vAlign w:val="center"/>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High-technology exports (current US$) </w:t>
            </w:r>
          </w:p>
        </w:tc>
        <w:tc>
          <w:tcPr>
            <w:vAlign w:val="center"/>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High-technology exports are products with high R&amp;D intensity, such as aerospace, computers, pharmaceuticals, scientific instruments, and electrical machinery. Data are in current U.S. dollars.</w:t>
            </w:r>
          </w:p>
        </w:tc>
      </w:tr>
      <w:tr>
        <w:trPr>
          <w:cantSplit w:val="0"/>
          <w:trHeight w:val="57" w:hRule="atLeast"/>
          <w:tblHeader w:val="0"/>
        </w:trPr>
        <w:tc>
          <w:tcPr>
            <w:vAlign w:val="center"/>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v11</w:t>
            </w:r>
          </w:p>
        </w:tc>
        <w:tc>
          <w:tcPr>
            <w:vAlign w:val="center"/>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ICT goods exports (% of total goods exports) </w:t>
            </w:r>
          </w:p>
        </w:tc>
        <w:tc>
          <w:tcPr>
            <w:vAlign w:val="center"/>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Information and communication technology goods exports include computers and peripheral equipment, communication equipment, consumer electronic equipment, electronic components, and other information and technology goods (miscellaneous).</w:t>
            </w:r>
          </w:p>
        </w:tc>
      </w:tr>
      <w:tr>
        <w:trPr>
          <w:cantSplit w:val="0"/>
          <w:trHeight w:val="57" w:hRule="atLeast"/>
          <w:tblHeader w:val="0"/>
        </w:trPr>
        <w:tc>
          <w:tcPr>
            <w:vAlign w:val="center"/>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v12</w:t>
            </w:r>
          </w:p>
        </w:tc>
        <w:tc>
          <w:tcPr>
            <w:vAlign w:val="center"/>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ICT goods imports (% total goods imports) </w:t>
            </w:r>
          </w:p>
        </w:tc>
        <w:tc>
          <w:tcPr>
            <w:vAlign w:val="center"/>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Information and communication technology goods imports include computers and peripheral equipment, communication equipment, consumer electronic equipment, electronic components, and other information and technology goods (miscellaneous).</w:t>
            </w:r>
          </w:p>
        </w:tc>
      </w:tr>
      <w:tr>
        <w:trPr>
          <w:cantSplit w:val="0"/>
          <w:trHeight w:val="57" w:hRule="atLeast"/>
          <w:tblHeader w:val="0"/>
        </w:trPr>
        <w:tc>
          <w:tcPr>
            <w:vAlign w:val="center"/>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v13</w:t>
            </w:r>
          </w:p>
        </w:tc>
        <w:tc>
          <w:tcPr>
            <w:vAlign w:val="center"/>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ICT service exports (% of service exports, BoP)</w:t>
            </w:r>
          </w:p>
        </w:tc>
        <w:tc>
          <w:tcPr>
            <w:vAlign w:val="center"/>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Information and communication technology service exports include computer and communications services (telecommunications and postal and courier services) and information services (computer data and news-related service transactions).</w:t>
            </w:r>
          </w:p>
        </w:tc>
      </w:tr>
      <w:tr>
        <w:trPr>
          <w:cantSplit w:val="0"/>
          <w:trHeight w:val="57" w:hRule="atLeast"/>
          <w:tblHeader w:val="0"/>
        </w:trPr>
        <w:tc>
          <w:tcPr>
            <w:vAlign w:val="center"/>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v14</w:t>
            </w:r>
          </w:p>
        </w:tc>
        <w:tc>
          <w:tcPr>
            <w:vAlign w:val="center"/>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ICT service exports (BoP, current US$)</w:t>
            </w:r>
          </w:p>
        </w:tc>
        <w:tc>
          <w:tcPr>
            <w:vAlign w:val="center"/>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Information and communication technology service exports include computer and communications services (telecommunications and postal and courier services) and information services (computer data and news-related service transactions). Data are in current U.S. dollars.</w:t>
            </w:r>
          </w:p>
        </w:tc>
      </w:tr>
      <w:tr>
        <w:trPr>
          <w:cantSplit w:val="0"/>
          <w:trHeight w:val="57" w:hRule="atLeast"/>
          <w:tblHeader w:val="0"/>
        </w:trPr>
        <w:tc>
          <w:tcPr>
            <w:vAlign w:val="center"/>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v15</w:t>
            </w:r>
          </w:p>
        </w:tc>
        <w:tc>
          <w:tcPr>
            <w:vAlign w:val="center"/>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Individuals using the Internet (% of population)</w:t>
            </w:r>
          </w:p>
        </w:tc>
        <w:tc>
          <w:tcPr>
            <w:vAlign w:val="center"/>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Internet users are individuals who have used the Internet (from any location) in the last 3 months. The Internet can be used via a computer, mobile phone, personal digital assistant, games machine, digital TV etc.</w:t>
            </w:r>
          </w:p>
        </w:tc>
      </w:tr>
      <w:tr>
        <w:trPr>
          <w:cantSplit w:val="0"/>
          <w:trHeight w:val="57" w:hRule="atLeast"/>
          <w:tblHeader w:val="0"/>
        </w:trPr>
        <w:tc>
          <w:tcPr>
            <w:vAlign w:val="center"/>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v16</w:t>
            </w:r>
          </w:p>
        </w:tc>
        <w:tc>
          <w:tcPr>
            <w:vAlign w:val="center"/>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Industrial design applications, nonresident, by count</w:t>
            </w:r>
          </w:p>
        </w:tc>
        <w:tc>
          <w:tcPr>
            <w:vAlign w:val="center"/>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Industrial design applications are applications to register an industrial design with a national or regional Intellectual Property (IP) offices and designations received by relevant offices through the Hague System. Industrial designs are applied to a wide variety of industrial products and handicrafts. They refer to the ornamental or aesthetic aspects of a useful article, including compositions of lines or colors or any three-dimensional forms that give a special appearance to a product or handicraft. The holder of a registered industrial design has exclusive rights against unauthorized copying or imitation of the design by third parties. Industrial design registrations are valid for a limited period. The term of protection is usually 15 years for most jurisdictions. However, differences in legislation do exist, notably in China (which provides for a 10-year term from the application date). Non-resident application refers to an application filed with the IP office of or acting on behalf of a state or jurisdiction in which the first-named applicant in the application is not domiciled. Design count is used to render application data for industrial applications across offices comparable, as some offices follow a single-class/single-design filing system while other have a multiple class/design filing system.</w:t>
            </w:r>
          </w:p>
        </w:tc>
      </w:tr>
      <w:tr>
        <w:trPr>
          <w:cantSplit w:val="0"/>
          <w:trHeight w:val="57" w:hRule="atLeast"/>
          <w:tblHeader w:val="0"/>
        </w:trPr>
        <w:tc>
          <w:tcPr>
            <w:vAlign w:val="center"/>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v17</w:t>
            </w:r>
          </w:p>
        </w:tc>
        <w:tc>
          <w:tcPr>
            <w:vAlign w:val="center"/>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Industrial design applications, resident, by count</w:t>
            </w:r>
          </w:p>
        </w:tc>
        <w:tc>
          <w:tcPr>
            <w:vAlign w:val="center"/>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Industrial design applications are applications to register an industrial design with a national or regional Intellectual Property (IP) offices and designations received by relevant offices through the Hague System. Industrial designs are applied to a wide variety of industrial products and handicrafts. They refer to the ornamental or aesthetic aspects of a useful article, including compositions of lines or colors or any three-dimensional forms that give a special appearance to a product or handicraft. The holder of a registered industrial design has exclusive rights against unauthorized copying or imitation of the design by third parties. Industrial design registrations are valid for a limited period. The term of protection is usually 15 years for most jurisdictions. However, differences in legislation do exist, notably in China (which provides for a 10-year term from the application date). Resident application refers to an application filed with the IP office of or acting on behalf of the state or jurisdiction in which the first-named applicant in the application has residence. Design count is used to render application data for industrial applications across offices comparable, as some offices follow a single-class/single-design filing system while other have a multiple class/design filing system.</w:t>
            </w:r>
          </w:p>
        </w:tc>
      </w:tr>
      <w:tr>
        <w:trPr>
          <w:cantSplit w:val="0"/>
          <w:trHeight w:val="57" w:hRule="atLeast"/>
          <w:tblHeader w:val="0"/>
        </w:trPr>
        <w:tc>
          <w:tcPr>
            <w:vAlign w:val="center"/>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v18</w:t>
            </w:r>
          </w:p>
        </w:tc>
        <w:tc>
          <w:tcPr>
            <w:vAlign w:val="center"/>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Mobile cellular subscriptions</w:t>
            </w:r>
          </w:p>
        </w:tc>
        <w:tc>
          <w:tcPr>
            <w:vAlign w:val="center"/>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Mobile cellular telephone subscriptions are subscriptions to a public mobile telephone service that provide access to the PSTN using cellular technology. The indicator includes (and is split into) the number of postpaid subscriptions, and the number of active prepaid accounts (i.e. that have been used during the last three months). The indicator applies to all mobile cellular subscriptions that offer voice communications. It excludes subscriptions via data cards or USB modems, subscriptions to public mobile data services, private trunked mobile radio, telepoint, radio paging and telemetry services.</w:t>
            </w:r>
          </w:p>
        </w:tc>
      </w:tr>
      <w:tr>
        <w:trPr>
          <w:cantSplit w:val="0"/>
          <w:trHeight w:val="57" w:hRule="atLeast"/>
          <w:tblHeader w:val="0"/>
        </w:trPr>
        <w:tc>
          <w:tcPr>
            <w:vAlign w:val="center"/>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v19</w:t>
            </w:r>
          </w:p>
        </w:tc>
        <w:tc>
          <w:tcPr>
            <w:vAlign w:val="center"/>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Mobile cellular subscriptions (per 100 people)</w:t>
            </w:r>
          </w:p>
        </w:tc>
        <w:tc>
          <w:tcPr>
            <w:vAlign w:val="center"/>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Mobile cellular telephone subscriptions are subscriptions to a public mobile telephone service that provide access to the PSTN using cellular technology. The indicator includes (and is split into) the number of postpaid subscriptions, and the number of active prepaid accounts (i.e. that have been used during the last three months). The indicator applies to all mobile cellular subscriptions that offer voice communications. It excludes subscriptions via data cards or USB modems, subscriptions to public mobile data services, private trunked mobile radio, telepoint, radio paging and telemetry services.</w:t>
            </w:r>
          </w:p>
        </w:tc>
      </w:tr>
      <w:tr>
        <w:trPr>
          <w:cantSplit w:val="0"/>
          <w:trHeight w:val="57" w:hRule="atLeast"/>
          <w:tblHeader w:val="0"/>
        </w:trPr>
        <w:tc>
          <w:tcPr>
            <w:vAlign w:val="center"/>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v20</w:t>
            </w:r>
          </w:p>
        </w:tc>
        <w:tc>
          <w:tcPr>
            <w:vAlign w:val="center"/>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Patent applications, nonresidents</w:t>
            </w:r>
          </w:p>
        </w:tc>
        <w:tc>
          <w:tcPr>
            <w:vAlign w:val="center"/>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Patent applications are worldwide patent applications filed through the Patent Cooperation Treaty procedure or with a national patent office for exclusive rights for an invention--a product or process that provides a new way of doing something or offers a new technical solution to a problem. A patent provides protection for the invention to the owner of the patent for a limited period, generally 20 years.</w:t>
            </w:r>
          </w:p>
        </w:tc>
      </w:tr>
      <w:tr>
        <w:trPr>
          <w:cantSplit w:val="0"/>
          <w:trHeight w:val="57" w:hRule="atLeast"/>
          <w:tblHeader w:val="0"/>
        </w:trPr>
        <w:tc>
          <w:tcPr>
            <w:vAlign w:val="center"/>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v21</w:t>
            </w:r>
          </w:p>
        </w:tc>
        <w:tc>
          <w:tcPr>
            <w:vAlign w:val="center"/>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Patent applications, residents</w:t>
            </w:r>
          </w:p>
        </w:tc>
        <w:tc>
          <w:tcPr>
            <w:vAlign w:val="cente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Patent applications are worldwide patent applications filed through the Patent Cooperation Treaty procedure or with a national patent office for exclusive rights for an invention--a product or process that provides a new way of doing something or offers a new technical solution to a problem. A patent provides protection for the invention to the owner of the patent for a limited period, generally 20 years.</w:t>
            </w:r>
          </w:p>
        </w:tc>
      </w:tr>
      <w:tr>
        <w:trPr>
          <w:cantSplit w:val="0"/>
          <w:trHeight w:val="57" w:hRule="atLeast"/>
          <w:tblHeader w:val="0"/>
        </w:trPr>
        <w:tc>
          <w:tcPr>
            <w:vAlign w:val="center"/>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v22</w:t>
            </w:r>
          </w:p>
        </w:tc>
        <w:tc>
          <w:tcPr>
            <w:vAlign w:val="center"/>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Scientific and technical journal articles</w:t>
            </w:r>
          </w:p>
        </w:tc>
        <w:tc>
          <w:tcPr>
            <w:vAlign w:val="cente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Scientific and technical journal articles refer to the number of scientific and engineering articles published in the following fields: physics, biology, chemistry, mathematics, clinical medicine, biomedical research, engineering and technology, and earth and space sciences.</w:t>
            </w:r>
          </w:p>
        </w:tc>
      </w:tr>
      <w:tr>
        <w:trPr>
          <w:cantSplit w:val="0"/>
          <w:trHeight w:val="57" w:hRule="atLeast"/>
          <w:tblHeader w:val="0"/>
        </w:trPr>
        <w:tc>
          <w:tcPr>
            <w:vAlign w:val="center"/>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v23</w:t>
            </w:r>
          </w:p>
        </w:tc>
        <w:tc>
          <w:tcPr>
            <w:vAlign w:val="center"/>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Secure Internet servers</w:t>
            </w:r>
          </w:p>
        </w:tc>
        <w:tc>
          <w:tcPr>
            <w:vAlign w:val="cente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number of distinct, publicly-trusted TLS/SSL certificates found in the Netcraft Secure Server Survey.</w:t>
            </w:r>
          </w:p>
        </w:tc>
      </w:tr>
      <w:tr>
        <w:trPr>
          <w:cantSplit w:val="0"/>
          <w:trHeight w:val="57" w:hRule="atLeast"/>
          <w:tblHeader w:val="0"/>
        </w:trPr>
        <w:tc>
          <w:tcPr>
            <w:vAlign w:val="center"/>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v24</w:t>
            </w:r>
          </w:p>
        </w:tc>
        <w:tc>
          <w:tcPr>
            <w:vAlign w:val="center"/>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Secure Internet servers (per 1 million people)</w:t>
            </w:r>
          </w:p>
        </w:tc>
        <w:tc>
          <w:tcPr>
            <w:vAlign w:val="center"/>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number of distinct, publicly-trusted TLS/SSL certificates found in the Netcraft Secure Server Survey.</w:t>
            </w:r>
          </w:p>
        </w:tc>
      </w:tr>
      <w:tr>
        <w:trPr>
          <w:cantSplit w:val="0"/>
          <w:trHeight w:val="57" w:hRule="atLeast"/>
          <w:tblHeader w:val="0"/>
        </w:trPr>
        <w:tc>
          <w:tcPr>
            <w:vAlign w:val="center"/>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v25</w:t>
            </w:r>
          </w:p>
        </w:tc>
        <w:tc>
          <w:tcPr>
            <w:vAlign w:val="center"/>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direct nonresident</w:t>
            </w:r>
          </w:p>
        </w:tc>
        <w:tc>
          <w:tcPr>
            <w:vAlign w:val="center"/>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filed are applications to register a trademark with a national or regional Intellectual Property (IP) office. A trademark is a distinctive sign which identifies certain goods or services as those produced or provided by a specific person or enterprise. A trademark provides protection to the owner of the mark by ensuring the exclusive right to use it to identify goods or services, or to authorize another to use it in return for payment. The period of protection varies, but a trademark can be renewed indefinitely beyond the time limit on payment of additional fees. Direct nonresident trademark applications are those filed by applicants from abroad directly at a given national IP office.</w:t>
            </w:r>
          </w:p>
        </w:tc>
      </w:tr>
      <w:tr>
        <w:trPr>
          <w:cantSplit w:val="0"/>
          <w:trHeight w:val="57" w:hRule="atLeast"/>
          <w:tblHeader w:val="0"/>
        </w:trPr>
        <w:tc>
          <w:tcPr>
            <w:vAlign w:val="center"/>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v26</w:t>
            </w:r>
          </w:p>
        </w:tc>
        <w:tc>
          <w:tcPr>
            <w:vAlign w:val="center"/>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direct resident</w:t>
            </w:r>
          </w:p>
        </w:tc>
        <w:tc>
          <w:tcPr>
            <w:vAlign w:val="center"/>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filed are applications to register a trademark with a national or regional Intellectual Property (IP) office. A trademark is a distinctive sign which identifies certain goods or services as those produced or provided by a specific person or enterprise. A trademark provides protection to the owner of the mark by ensuring the exclusive right to use it to identify goods or services, or to authorize another to use it in return for payment. The period of protection varies, but a trademark can be renewed indefinitely beyond the time limit on payment of additional fees. Direct resident trademark applications are those filed by domestic applicants directly at a given national IP office.</w:t>
            </w:r>
          </w:p>
        </w:tc>
      </w:tr>
      <w:tr>
        <w:trPr>
          <w:cantSplit w:val="0"/>
          <w:trHeight w:val="57" w:hRule="atLeast"/>
          <w:tblHeader w:val="0"/>
        </w:trPr>
        <w:tc>
          <w:tcPr>
            <w:vAlign w:val="center"/>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v27</w:t>
            </w:r>
          </w:p>
        </w:tc>
        <w:tc>
          <w:tcPr>
            <w:vAlign w:val="center"/>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nonresident, by count</w:t>
            </w:r>
          </w:p>
        </w:tc>
        <w:tc>
          <w:tcPr>
            <w:vAlign w:val="center"/>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filed are applications to register a trademark with a national or regional Intellectual Property (IP) offices and designations received by relevant offices through the Madrid System. A trademark is a distinctive sign which identifies certain goods or services as those produced or provided by a specific person or enterprise. A trademark provides protection to the owner of the mark by ensuring the exclusive right to use it to identify goods or services, or to authorize another to use it in return for payment. The period of protection varies, but a trademark can be renewed indefinitely beyond the time limit on payment of additional fees. Non-resident application refers to an application filed with the IP office of or acting on behalf of a state or jurisdiction in which the first-named applicant in the application is not domiciled. Class count is used to render application data for trademark applications across offices comparable, as some offices follow a single-class/single-design filing system while other have a multiple class/design filing system.</w:t>
            </w:r>
          </w:p>
        </w:tc>
      </w:tr>
      <w:tr>
        <w:trPr>
          <w:cantSplit w:val="0"/>
          <w:trHeight w:val="57" w:hRule="atLeast"/>
          <w:tblHeader w:val="0"/>
        </w:trPr>
        <w:tc>
          <w:tcPr>
            <w:vAlign w:val="center"/>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v28</w:t>
            </w:r>
          </w:p>
        </w:tc>
        <w:tc>
          <w:tcPr>
            <w:vAlign w:val="center"/>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resident, by count</w:t>
            </w:r>
          </w:p>
        </w:tc>
        <w:tc>
          <w:tcPr>
            <w:vAlign w:val="cente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filed are applications to register a trademark with a national or regional Intellectual Property (IP) offices and designations received by relevant offices through the Madrid System. A trademark is a distinctive sign which identifies certain goods or services as those produced or provided by a specific person or enterprise. A trademark provides protection to the owner of the mark by ensuring the exclusive right to use it to identify goods or services, or to authorize another to use it in return for payment. The period of protection varies, but a trademark can be renewed indefinitely beyond the time limit on payment of additional fees. Resident application refers to an application filed with the IP office of or acting on behalf of the state or jurisdiction in which the first-named applicant in the application has residence. Class count is used to render application data for trademark applications across offices comparable, as some offices follow a single-class/single-design filing system while other have a multiple class/design filing system.</w:t>
            </w:r>
          </w:p>
        </w:tc>
      </w:tr>
      <w:tr>
        <w:trPr>
          <w:cantSplit w:val="0"/>
          <w:trHeight w:val="57" w:hRule="atLeast"/>
          <w:tblHeader w:val="0"/>
        </w:trPr>
        <w:tc>
          <w:tcPr>
            <w:vAlign w:val="center"/>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v29</w:t>
            </w:r>
          </w:p>
        </w:tc>
        <w:tc>
          <w:tcPr>
            <w:vAlign w:val="center"/>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total </w:t>
            </w:r>
          </w:p>
        </w:tc>
        <w:tc>
          <w:tcPr>
            <w:vAlign w:val="center"/>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Trademark applications filed are applications to register a trademark with a national or regional Intellectual Property (IP) office. A trademark is a distinctive sign which identifies certain goods or services as those produced or provided by a specific person or enterprise. A trademark provides protection to the owner of the mark by ensuring the exclusive right to use it to identify goods or services, or to authorize another to use it in return for payment. The period of protection varies, but a trademark can be renewed indefinitely beyond the time limit on payment of additional fees.</w:t>
            </w:r>
          </w:p>
        </w:tc>
      </w:tr>
      <w:tr>
        <w:trPr>
          <w:cantSplit w:val="0"/>
          <w:trHeight w:val="57" w:hRule="atLeast"/>
          <w:tblHeader w:val="0"/>
        </w:trPr>
        <w:tc>
          <w:tcPr>
            <w:vAlign w:val="center"/>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v30</w:t>
            </w:r>
          </w:p>
        </w:tc>
        <w:tc>
          <w:tcPr>
            <w:vAlign w:val="center"/>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GDP per capita (constant 2015 US$) </w:t>
            </w:r>
          </w:p>
        </w:tc>
        <w:tc>
          <w:tcPr>
            <w:vAlign w:val="center"/>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constant 2015 U.S. dollars.</w:t>
            </w:r>
          </w:p>
        </w:tc>
      </w:tr>
      <w:tr>
        <w:trPr>
          <w:cantSplit w:val="0"/>
          <w:trHeight w:val="57" w:hRule="atLeast"/>
          <w:tblHeader w:val="0"/>
        </w:trPr>
        <w:tc>
          <w:tcPr>
            <w:vAlign w:val="center"/>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v31</w:t>
            </w:r>
          </w:p>
        </w:tc>
        <w:tc>
          <w:tcPr>
            <w:vAlign w:val="center"/>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Gross domestic savings (% of GDP) </w:t>
            </w:r>
          </w:p>
        </w:tc>
        <w:tc>
          <w:tcPr>
            <w:vAlign w:val="center"/>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Gross domestic savings are calculated as GDP less final consumption expenditure (total consumption).</w:t>
            </w:r>
          </w:p>
        </w:tc>
      </w:tr>
      <w:tr>
        <w:trPr>
          <w:cantSplit w:val="0"/>
          <w:trHeight w:val="57" w:hRule="atLeast"/>
          <w:tblHeader w:val="0"/>
        </w:trPr>
        <w:tc>
          <w:tcPr>
            <w:vAlign w:val="center"/>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v32</w:t>
            </w:r>
          </w:p>
        </w:tc>
        <w:tc>
          <w:tcPr>
            <w:vAlign w:val="center"/>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Households and NPISHs final consumption expenditure (% of GDP) </w:t>
            </w:r>
          </w:p>
        </w:tc>
        <w:tc>
          <w:tcPr>
            <w:vAlign w:val="center"/>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Here, household consumption expenditure includes the expenditures of nonprofit institutions serving households, even when reported separately by the country. This item also includes any statistical discrepancy in the use of resources relative to the supply of resources.</w:t>
            </w:r>
          </w:p>
        </w:tc>
      </w:tr>
      <w:tr>
        <w:trPr>
          <w:cantSplit w:val="0"/>
          <w:trHeight w:val="57" w:hRule="atLeast"/>
          <w:tblHeader w:val="0"/>
        </w:trPr>
        <w:tc>
          <w:tcPr>
            <w:vAlign w:val="center"/>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v33</w:t>
            </w:r>
          </w:p>
        </w:tc>
        <w:tc>
          <w:tcPr>
            <w:vAlign w:val="center"/>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General government final consumption expenditure (% of GDP)</w:t>
            </w:r>
          </w:p>
        </w:tc>
        <w:tc>
          <w:tcPr>
            <w:vAlign w:val="center"/>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General government final consumption expenditure (formerly general government consumption) includes all government current expenditures for purchases of goods and services (including compensation of employees). It also includes most expenditures on national defense and security, but excludes government military expenditures that are part of government capital formation.</w:t>
            </w:r>
          </w:p>
        </w:tc>
      </w:tr>
      <w:tr>
        <w:trPr>
          <w:cantSplit w:val="0"/>
          <w:trHeight w:val="57" w:hRule="atLeast"/>
          <w:tblHeader w:val="0"/>
        </w:trPr>
        <w:tc>
          <w:tcPr>
            <w:vAlign w:val="center"/>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v34</w:t>
            </w:r>
          </w:p>
        </w:tc>
        <w:tc>
          <w:tcPr>
            <w:vAlign w:val="center"/>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Exports of goods and services (% of GDP) </w:t>
            </w:r>
          </w:p>
        </w:tc>
        <w:tc>
          <w:tcPr>
            <w:vAlign w:val="center"/>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tc>
      </w:tr>
      <w:tr>
        <w:trPr>
          <w:cantSplit w:val="0"/>
          <w:trHeight w:val="57" w:hRule="atLeast"/>
          <w:tblHeader w:val="0"/>
        </w:trPr>
        <w:tc>
          <w:tcPr>
            <w:vAlign w:val="center"/>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v35</w:t>
            </w:r>
          </w:p>
        </w:tc>
        <w:tc>
          <w:tcPr>
            <w:vAlign w:val="center"/>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Imports of goods and services (% of GDP) </w:t>
            </w:r>
          </w:p>
        </w:tc>
        <w:tc>
          <w:tcPr>
            <w:vAlign w:val="center"/>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tc>
      </w:tr>
      <w:tr>
        <w:trPr>
          <w:cantSplit w:val="0"/>
          <w:trHeight w:val="57" w:hRule="atLeast"/>
          <w:tblHeader w:val="0"/>
        </w:trPr>
        <w:tc>
          <w:tcPr>
            <w:vAlign w:val="center"/>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v36</w:t>
            </w:r>
          </w:p>
        </w:tc>
        <w:tc>
          <w:tcPr>
            <w:vAlign w:val="center"/>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Current health expenditure (% of GDP)</w:t>
            </w:r>
          </w:p>
        </w:tc>
        <w:tc>
          <w:tcPr>
            <w:vAlign w:val="center"/>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 of current health expenditure expressed as a percentage of GDP.  Estimates of current health expenditures include healthcare goods and services consumed during each year. This indicator does not include capital health expenditures such as buildings, machinery, IT and stocks of vaccines for emergency or outbreaks.</w:t>
            </w:r>
          </w:p>
        </w:tc>
      </w:tr>
      <w:tr>
        <w:trPr>
          <w:cantSplit w:val="0"/>
          <w:trHeight w:val="57" w:hRule="atLeast"/>
          <w:tblHeader w:val="0"/>
        </w:trPr>
        <w:tc>
          <w:tcPr>
            <w:vAlign w:val="center"/>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v37</w:t>
            </w:r>
          </w:p>
        </w:tc>
        <w:tc>
          <w:tcPr>
            <w:vAlign w:val="center"/>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Mortality rate, under-5 (per 1,000 live births)</w:t>
            </w:r>
          </w:p>
        </w:tc>
        <w:tc>
          <w:tcPr>
            <w:vAlign w:val="center"/>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Under-five mortality rate is the probability per 1,000 that a newborn baby will die before reaching age five, if subject to age-specific mortality rates of the specified year.</w:t>
            </w:r>
          </w:p>
        </w:tc>
      </w:tr>
      <w:tr>
        <w:trPr>
          <w:cantSplit w:val="0"/>
          <w:trHeight w:val="57" w:hRule="atLeast"/>
          <w:tblHeader w:val="0"/>
        </w:trPr>
        <w:tc>
          <w:tcPr>
            <w:vAlign w:val="center"/>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v38</w:t>
            </w:r>
          </w:p>
        </w:tc>
        <w:tc>
          <w:tcPr>
            <w:vAlign w:val="center"/>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Life expectancy at birth, total (years)</w:t>
            </w:r>
          </w:p>
        </w:tc>
        <w:tc>
          <w:tcPr>
            <w:vAlign w:val="center"/>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Life expectancy at birth indicates the number of years a newborn infant would live if prevailing patterns of mortality at the time of its birth were to stay the same throughout its life.</w:t>
            </w:r>
          </w:p>
        </w:tc>
      </w:tr>
    </w:tbl>
    <w:p w:rsidR="00000000" w:rsidDel="00000000" w:rsidP="00000000" w:rsidRDefault="00000000" w:rsidRPr="00000000" w14:paraId="0000007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Please consider the following tasks.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dependent variable an</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7 independent variables (you can select more).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note that there are variables that evaluate the same indicator but are calculated differently. Please don't include them in the model at the same time.</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Formulate hypotheses about the existence of relationships between the dependent and independent variables.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 descriptive data analysis.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tests to select one of three models: pulled regression model, model with fixed effects, and model with random effects. Choose the right model and justify your choice.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resulting model as a whole.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detail the relationships between the dependent variable and each predictor.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conclusions from the analysis.</w:t>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ind w:firstLine="708"/>
        <w:jc w:val="both"/>
        <w:rPr>
          <w:sz w:val="24"/>
          <w:szCs w:val="24"/>
        </w:rPr>
      </w:pPr>
      <w:r w:rsidDel="00000000" w:rsidR="00000000" w:rsidRPr="00000000">
        <w:rPr>
          <w:sz w:val="24"/>
          <w:szCs w:val="24"/>
          <w:rtl w:val="0"/>
        </w:rPr>
        <w:t xml:space="preserve">Please send the Jupyter Notebook with comments and answers to amelikyan@hse. The task should be done </w:t>
      </w:r>
      <w:r w:rsidDel="00000000" w:rsidR="00000000" w:rsidRPr="00000000">
        <w:rPr>
          <w:b w:val="1"/>
          <w:sz w:val="24"/>
          <w:szCs w:val="24"/>
          <w:rtl w:val="0"/>
        </w:rPr>
        <w:t xml:space="preserve">individually</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The deadline for submitting the task is </w:t>
      </w:r>
      <w:r w:rsidDel="00000000" w:rsidR="00000000" w:rsidRPr="00000000">
        <w:rPr>
          <w:b w:val="1"/>
          <w:sz w:val="24"/>
          <w:szCs w:val="24"/>
          <w:rtl w:val="0"/>
        </w:rPr>
        <w:t xml:space="preserve">20 May 14:00</w:t>
      </w:r>
      <w:r w:rsidDel="00000000" w:rsidR="00000000" w:rsidRPr="00000000">
        <w:rPr>
          <w:sz w:val="24"/>
          <w:szCs w:val="24"/>
          <w:rtl w:val="0"/>
        </w:rPr>
        <w:t xml:space="preserve">. </w:t>
      </w:r>
    </w:p>
    <w:p w:rsidR="00000000" w:rsidDel="00000000" w:rsidP="00000000" w:rsidRDefault="00000000" w:rsidRPr="00000000" w14:paraId="00000086">
      <w:pPr>
        <w:spacing w:after="280" w:before="28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088">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089">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sectPr>
      <w:pgSz w:h="11906" w:w="16838" w:orient="landscape"/>
      <w:pgMar w:bottom="850" w:top="1276"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51D76"/>
    <w:pPr>
      <w:spacing w:after="200" w:line="276" w:lineRule="auto"/>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651D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List Paragraph"/>
    <w:basedOn w:val="a"/>
    <w:uiPriority w:val="34"/>
    <w:qFormat w:val="1"/>
    <w:rsid w:val="008F2D9F"/>
    <w:pPr>
      <w:ind w:left="720"/>
      <w:contextualSpacing w:val="1"/>
    </w:pPr>
  </w:style>
  <w:style w:type="table" w:styleId="a5">
    <w:name w:val="Grid Table Light"/>
    <w:basedOn w:val="a1"/>
    <w:uiPriority w:val="40"/>
    <w:rsid w:val="00753B4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tlid-translation" w:customStyle="1">
    <w:name w:val="tlid-translation"/>
    <w:basedOn w:val="a0"/>
    <w:rsid w:val="00D94DF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hzxmuM2QBd/8ZF7tdB8MDasNA==">AMUW2mX9hSBA+JTupbRI7/EVxBeZkyQLXlhitDoFxaca/FvbOG8dZ9FG/WPgEXz72cdXd9G+xpmCGMJKrETmT8yGwKuKs84B9AUinPhp0vDp32O8PivlLXDXMArEGq92EvOnflTuu+oZ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2019-12-03T12:31:00Z</dcterms:created>
  <dc:creator>Студент НИУ ВШЭ</dc:creator>
</cp:coreProperties>
</file>