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1D937" w14:textId="77777777" w:rsidR="00E4411A" w:rsidRDefault="00E4411A" w:rsidP="00E4411A"/>
    <w:p w14:paraId="0ABA1D1C" w14:textId="77777777" w:rsidR="00752A19" w:rsidRPr="00A879F2" w:rsidRDefault="00752A19" w:rsidP="00752A19">
      <w:pPr>
        <w:jc w:val="center"/>
        <w:rPr>
          <w:szCs w:val="24"/>
        </w:rPr>
      </w:pPr>
      <w:r w:rsidRPr="00A879F2">
        <w:rPr>
          <w:noProof/>
          <w:szCs w:val="24"/>
          <w:lang w:eastAsia="pt-BR"/>
        </w:rPr>
        <w:drawing>
          <wp:inline distT="0" distB="0" distL="0" distR="0" wp14:anchorId="6B3115FA" wp14:editId="55250EA8">
            <wp:extent cx="1160780" cy="1090295"/>
            <wp:effectExtent l="0" t="0" r="1270" b="0"/>
            <wp:docPr id="1" name="Imagem 1" descr="164762_128275810570009_176269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64762_128275810570009_1762696_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0780" cy="1090295"/>
                    </a:xfrm>
                    <a:prstGeom prst="rect">
                      <a:avLst/>
                    </a:prstGeom>
                    <a:noFill/>
                    <a:ln>
                      <a:noFill/>
                    </a:ln>
                  </pic:spPr>
                </pic:pic>
              </a:graphicData>
            </a:graphic>
          </wp:inline>
        </w:drawing>
      </w:r>
    </w:p>
    <w:p w14:paraId="20FB6EE0" w14:textId="77777777" w:rsidR="00752A19" w:rsidRPr="00A879F2" w:rsidRDefault="00752A19" w:rsidP="00FA3C85">
      <w:pPr>
        <w:jc w:val="center"/>
        <w:rPr>
          <w:b/>
          <w:szCs w:val="24"/>
        </w:rPr>
      </w:pPr>
      <w:r w:rsidRPr="00A879F2">
        <w:rPr>
          <w:b/>
          <w:szCs w:val="24"/>
        </w:rPr>
        <w:t>UNIVERSIDADE FEDERAL DA PARAÍBA</w:t>
      </w:r>
    </w:p>
    <w:p w14:paraId="68D95316" w14:textId="77777777" w:rsidR="00752A19" w:rsidRPr="00A879F2" w:rsidRDefault="00752A19" w:rsidP="00FA3C85">
      <w:pPr>
        <w:jc w:val="center"/>
        <w:rPr>
          <w:b/>
          <w:szCs w:val="24"/>
        </w:rPr>
      </w:pPr>
      <w:r w:rsidRPr="00A879F2">
        <w:rPr>
          <w:b/>
          <w:szCs w:val="24"/>
        </w:rPr>
        <w:t>CENTRO DE CIÊNCIAS SOCIAIS APLICADAS</w:t>
      </w:r>
    </w:p>
    <w:p w14:paraId="0D7783A2" w14:textId="77777777" w:rsidR="00752A19" w:rsidRPr="00A879F2" w:rsidRDefault="00752A19" w:rsidP="00FA3C85">
      <w:pPr>
        <w:jc w:val="center"/>
        <w:rPr>
          <w:szCs w:val="24"/>
        </w:rPr>
      </w:pPr>
      <w:r>
        <w:rPr>
          <w:b/>
          <w:szCs w:val="24"/>
        </w:rPr>
        <w:t>CURSO DE CIÊNCIAS ECONÔMICAS</w:t>
      </w:r>
      <w:r w:rsidRPr="00A879F2">
        <w:rPr>
          <w:szCs w:val="24"/>
        </w:rPr>
        <w:br/>
      </w:r>
    </w:p>
    <w:p w14:paraId="3D019B85" w14:textId="77777777" w:rsidR="00752A19" w:rsidRPr="00A879F2" w:rsidRDefault="00752A19" w:rsidP="00752A19">
      <w:pPr>
        <w:rPr>
          <w:szCs w:val="24"/>
        </w:rPr>
      </w:pPr>
    </w:p>
    <w:p w14:paraId="01B8039A" w14:textId="6D483258" w:rsidR="00752A19" w:rsidRPr="00A879F2" w:rsidRDefault="002D755D" w:rsidP="00752A19">
      <w:pPr>
        <w:jc w:val="center"/>
        <w:rPr>
          <w:b/>
          <w:szCs w:val="24"/>
        </w:rPr>
      </w:pPr>
      <w:r>
        <w:rPr>
          <w:b/>
          <w:szCs w:val="24"/>
        </w:rPr>
        <w:t>Vinícius Torres Nóbrega Gomes</w:t>
      </w:r>
    </w:p>
    <w:p w14:paraId="0B6EECF6" w14:textId="77777777" w:rsidR="00752A19" w:rsidRPr="00A879F2" w:rsidRDefault="00752A19" w:rsidP="00752A19">
      <w:pPr>
        <w:rPr>
          <w:szCs w:val="24"/>
        </w:rPr>
      </w:pPr>
    </w:p>
    <w:p w14:paraId="39854DD2" w14:textId="77777777" w:rsidR="00752A19" w:rsidRPr="00A879F2" w:rsidRDefault="00752A19" w:rsidP="00752A19">
      <w:pPr>
        <w:rPr>
          <w:szCs w:val="24"/>
        </w:rPr>
      </w:pPr>
    </w:p>
    <w:p w14:paraId="4A074174" w14:textId="77777777" w:rsidR="00752A19" w:rsidRPr="00A879F2" w:rsidRDefault="00752A19" w:rsidP="00752A19">
      <w:pPr>
        <w:jc w:val="center"/>
        <w:rPr>
          <w:b/>
          <w:szCs w:val="24"/>
        </w:rPr>
      </w:pPr>
    </w:p>
    <w:p w14:paraId="1366D756" w14:textId="1A60F50D" w:rsidR="00752A19" w:rsidRPr="00A879F2" w:rsidRDefault="0083074A" w:rsidP="00752A19">
      <w:pPr>
        <w:jc w:val="center"/>
        <w:rPr>
          <w:b/>
          <w:szCs w:val="24"/>
        </w:rPr>
      </w:pPr>
      <w:r w:rsidRPr="0083074A">
        <w:rPr>
          <w:b/>
          <w:szCs w:val="24"/>
        </w:rPr>
        <w:t>Eficiência Relativa e Alocação de Incentivos Fiscais na Zona Franca de Manaus:</w:t>
      </w:r>
      <w:r w:rsidR="00752A19" w:rsidRPr="00A879F2">
        <w:rPr>
          <w:b/>
          <w:szCs w:val="24"/>
        </w:rPr>
        <w:t xml:space="preserve"> </w:t>
      </w:r>
      <w:r w:rsidRPr="0083074A">
        <w:rPr>
          <w:b/>
          <w:szCs w:val="24"/>
        </w:rPr>
        <w:t>Uma Análise com DEA e Clusterização K-means</w:t>
      </w:r>
    </w:p>
    <w:p w14:paraId="6B5FA9B3" w14:textId="77777777" w:rsidR="00752A19" w:rsidRPr="00A879F2" w:rsidRDefault="00752A19" w:rsidP="00752A19">
      <w:pPr>
        <w:jc w:val="center"/>
        <w:rPr>
          <w:szCs w:val="24"/>
        </w:rPr>
      </w:pPr>
    </w:p>
    <w:p w14:paraId="4FFE1F5A" w14:textId="77777777" w:rsidR="00752A19" w:rsidRPr="00A879F2" w:rsidRDefault="00752A19" w:rsidP="00752A19">
      <w:pPr>
        <w:rPr>
          <w:szCs w:val="24"/>
        </w:rPr>
      </w:pPr>
    </w:p>
    <w:p w14:paraId="6305AC1D" w14:textId="77777777" w:rsidR="00752A19" w:rsidRPr="00A879F2" w:rsidRDefault="00752A19" w:rsidP="00752A19">
      <w:pPr>
        <w:jc w:val="center"/>
        <w:rPr>
          <w:szCs w:val="24"/>
        </w:rPr>
      </w:pPr>
    </w:p>
    <w:p w14:paraId="6BA8CE5E" w14:textId="77777777" w:rsidR="00752A19" w:rsidRPr="00A879F2" w:rsidRDefault="00752A19" w:rsidP="00752A19">
      <w:pPr>
        <w:jc w:val="center"/>
        <w:rPr>
          <w:szCs w:val="24"/>
        </w:rPr>
      </w:pPr>
    </w:p>
    <w:p w14:paraId="4601D353" w14:textId="77777777" w:rsidR="00752A19" w:rsidRPr="00A879F2" w:rsidRDefault="00752A19" w:rsidP="00752A19">
      <w:pPr>
        <w:jc w:val="center"/>
        <w:rPr>
          <w:szCs w:val="24"/>
        </w:rPr>
      </w:pPr>
    </w:p>
    <w:p w14:paraId="0EC08E8B" w14:textId="77777777" w:rsidR="00752A19" w:rsidRPr="00A879F2" w:rsidRDefault="00752A19" w:rsidP="00752A19">
      <w:pPr>
        <w:rPr>
          <w:szCs w:val="24"/>
        </w:rPr>
      </w:pPr>
    </w:p>
    <w:p w14:paraId="0C291655" w14:textId="5704947E" w:rsidR="00752A19" w:rsidRDefault="00752A19" w:rsidP="00752A19">
      <w:pPr>
        <w:jc w:val="center"/>
        <w:rPr>
          <w:szCs w:val="24"/>
        </w:rPr>
      </w:pPr>
    </w:p>
    <w:p w14:paraId="65C179FE" w14:textId="115AB0C2" w:rsidR="00363E64" w:rsidRDefault="00363E64" w:rsidP="00752A19">
      <w:pPr>
        <w:jc w:val="center"/>
        <w:rPr>
          <w:szCs w:val="24"/>
        </w:rPr>
      </w:pPr>
    </w:p>
    <w:p w14:paraId="5F3BBF8B" w14:textId="123012C3" w:rsidR="00BF4954" w:rsidRDefault="00BF4954" w:rsidP="00752A19">
      <w:pPr>
        <w:jc w:val="center"/>
        <w:rPr>
          <w:szCs w:val="24"/>
        </w:rPr>
      </w:pPr>
    </w:p>
    <w:p w14:paraId="594C7F75" w14:textId="66C28351" w:rsidR="00BF4954" w:rsidRDefault="00BF4954" w:rsidP="00752A19">
      <w:pPr>
        <w:jc w:val="center"/>
        <w:rPr>
          <w:szCs w:val="24"/>
        </w:rPr>
      </w:pPr>
    </w:p>
    <w:p w14:paraId="4F34B622" w14:textId="343C0BEC" w:rsidR="00BF4954" w:rsidRDefault="00BF4954" w:rsidP="00752A19">
      <w:pPr>
        <w:jc w:val="center"/>
        <w:rPr>
          <w:szCs w:val="24"/>
        </w:rPr>
      </w:pPr>
    </w:p>
    <w:p w14:paraId="7EA220D7" w14:textId="2CD2DC95" w:rsidR="00BF4954" w:rsidRDefault="00BF4954" w:rsidP="00752A19">
      <w:pPr>
        <w:jc w:val="center"/>
        <w:rPr>
          <w:szCs w:val="24"/>
        </w:rPr>
      </w:pPr>
    </w:p>
    <w:p w14:paraId="3064F900" w14:textId="2CB149AC" w:rsidR="00BF4954" w:rsidRDefault="00BF4954" w:rsidP="00752A19">
      <w:pPr>
        <w:jc w:val="center"/>
        <w:rPr>
          <w:szCs w:val="24"/>
        </w:rPr>
      </w:pPr>
    </w:p>
    <w:p w14:paraId="66DF1FCE" w14:textId="77777777" w:rsidR="00BF4954" w:rsidRDefault="00BF4954" w:rsidP="00752A19">
      <w:pPr>
        <w:jc w:val="center"/>
        <w:rPr>
          <w:szCs w:val="24"/>
        </w:rPr>
      </w:pPr>
    </w:p>
    <w:p w14:paraId="16A69034" w14:textId="77777777" w:rsidR="00363E64" w:rsidRPr="00A879F2" w:rsidRDefault="00363E64" w:rsidP="00752A19">
      <w:pPr>
        <w:jc w:val="center"/>
        <w:rPr>
          <w:szCs w:val="24"/>
        </w:rPr>
      </w:pPr>
    </w:p>
    <w:p w14:paraId="06F6B989" w14:textId="77777777" w:rsidR="00752A19" w:rsidRDefault="00752A19" w:rsidP="00752A19">
      <w:pPr>
        <w:jc w:val="center"/>
        <w:rPr>
          <w:b/>
          <w:szCs w:val="24"/>
        </w:rPr>
      </w:pPr>
      <w:r w:rsidRPr="00A879F2">
        <w:rPr>
          <w:b/>
          <w:szCs w:val="24"/>
        </w:rPr>
        <w:t xml:space="preserve">JOÃO PESSOA </w:t>
      </w:r>
    </w:p>
    <w:p w14:paraId="1FA5B742" w14:textId="3304DA47" w:rsidR="00B55B7D" w:rsidRDefault="002D755D" w:rsidP="00BF4954">
      <w:pPr>
        <w:jc w:val="center"/>
        <w:rPr>
          <w:b/>
          <w:szCs w:val="24"/>
        </w:rPr>
      </w:pPr>
      <w:r>
        <w:rPr>
          <w:b/>
          <w:szCs w:val="24"/>
        </w:rPr>
        <w:t>202</w:t>
      </w:r>
      <w:r w:rsidR="00F97AF0">
        <w:rPr>
          <w:b/>
          <w:szCs w:val="24"/>
        </w:rPr>
        <w:t>5</w:t>
      </w:r>
    </w:p>
    <w:p w14:paraId="087F2659" w14:textId="65A1C66B" w:rsidR="00752A19" w:rsidRPr="00A879F2" w:rsidRDefault="002D755D" w:rsidP="00752A19">
      <w:pPr>
        <w:jc w:val="center"/>
        <w:rPr>
          <w:b/>
          <w:szCs w:val="24"/>
        </w:rPr>
      </w:pPr>
      <w:r>
        <w:rPr>
          <w:b/>
          <w:szCs w:val="24"/>
        </w:rPr>
        <w:lastRenderedPageBreak/>
        <w:t>Vinícius Torres Nóbrega Gomes</w:t>
      </w:r>
    </w:p>
    <w:p w14:paraId="10EEE812" w14:textId="4580776C" w:rsidR="00752A19" w:rsidRDefault="00752A19" w:rsidP="00752A19">
      <w:pPr>
        <w:rPr>
          <w:szCs w:val="24"/>
        </w:rPr>
      </w:pPr>
    </w:p>
    <w:p w14:paraId="6C7241D3" w14:textId="77777777" w:rsidR="00FA3C85" w:rsidRPr="00A879F2" w:rsidRDefault="00FA3C85" w:rsidP="00752A19">
      <w:pPr>
        <w:rPr>
          <w:szCs w:val="24"/>
        </w:rPr>
      </w:pPr>
    </w:p>
    <w:p w14:paraId="3849B5CF" w14:textId="77777777" w:rsidR="00752A19" w:rsidRPr="00A879F2" w:rsidRDefault="00752A19" w:rsidP="00752A19">
      <w:pPr>
        <w:rPr>
          <w:szCs w:val="24"/>
        </w:rPr>
      </w:pPr>
    </w:p>
    <w:p w14:paraId="7ED093AC" w14:textId="77777777" w:rsidR="00752A19" w:rsidRPr="00A879F2" w:rsidRDefault="00752A19" w:rsidP="00752A19">
      <w:pPr>
        <w:rPr>
          <w:szCs w:val="24"/>
        </w:rPr>
      </w:pPr>
    </w:p>
    <w:p w14:paraId="2436A6E8" w14:textId="77777777" w:rsidR="00752A19" w:rsidRPr="00A879F2" w:rsidRDefault="00752A19" w:rsidP="00752A19">
      <w:pPr>
        <w:jc w:val="center"/>
        <w:rPr>
          <w:szCs w:val="24"/>
        </w:rPr>
      </w:pPr>
    </w:p>
    <w:p w14:paraId="5FADC71B" w14:textId="77777777" w:rsidR="00752A19" w:rsidRPr="00A879F2" w:rsidRDefault="00752A19" w:rsidP="00752A19">
      <w:pPr>
        <w:jc w:val="center"/>
        <w:rPr>
          <w:szCs w:val="24"/>
        </w:rPr>
      </w:pPr>
    </w:p>
    <w:p w14:paraId="28BC32D3" w14:textId="77777777" w:rsidR="00752A19" w:rsidRPr="00A879F2" w:rsidRDefault="00752A19" w:rsidP="00752A19">
      <w:pPr>
        <w:jc w:val="center"/>
        <w:rPr>
          <w:szCs w:val="24"/>
        </w:rPr>
      </w:pPr>
    </w:p>
    <w:p w14:paraId="56F67E3A" w14:textId="77777777" w:rsidR="00752A19" w:rsidRPr="00A879F2" w:rsidRDefault="00752A19" w:rsidP="00752A19">
      <w:pPr>
        <w:jc w:val="center"/>
        <w:rPr>
          <w:szCs w:val="24"/>
        </w:rPr>
      </w:pPr>
    </w:p>
    <w:p w14:paraId="49554C0A" w14:textId="77777777" w:rsidR="00752A19" w:rsidRPr="00A879F2" w:rsidRDefault="00752A19" w:rsidP="00752A19">
      <w:pPr>
        <w:jc w:val="center"/>
        <w:rPr>
          <w:szCs w:val="24"/>
        </w:rPr>
      </w:pPr>
    </w:p>
    <w:p w14:paraId="6852F4B8" w14:textId="0B47ACAA" w:rsidR="00752A19" w:rsidRPr="00A879F2" w:rsidRDefault="0083074A" w:rsidP="00752A19">
      <w:pPr>
        <w:jc w:val="center"/>
        <w:rPr>
          <w:b/>
          <w:szCs w:val="24"/>
        </w:rPr>
      </w:pPr>
      <w:r w:rsidRPr="0083074A">
        <w:rPr>
          <w:b/>
          <w:szCs w:val="24"/>
        </w:rPr>
        <w:t>Eficiência Relativa e Alocação de Incentivos Fiscais na Zona Franca de Manaus: Uma Análise com DEA e Clusterização K-means</w:t>
      </w:r>
    </w:p>
    <w:p w14:paraId="518335EC" w14:textId="77777777" w:rsidR="00752A19" w:rsidRPr="00A879F2" w:rsidRDefault="00752A19" w:rsidP="00752A19">
      <w:pPr>
        <w:jc w:val="center"/>
        <w:rPr>
          <w:szCs w:val="24"/>
        </w:rPr>
      </w:pPr>
    </w:p>
    <w:p w14:paraId="31B87AF9" w14:textId="77777777" w:rsidR="00752A19" w:rsidRPr="00A879F2" w:rsidRDefault="00752A19" w:rsidP="00752A19">
      <w:pPr>
        <w:jc w:val="center"/>
        <w:rPr>
          <w:szCs w:val="24"/>
        </w:rPr>
      </w:pPr>
    </w:p>
    <w:p w14:paraId="0D526CF0" w14:textId="0025B997" w:rsidR="00752A19" w:rsidRDefault="006904A8" w:rsidP="00752A19">
      <w:pPr>
        <w:spacing w:line="240" w:lineRule="auto"/>
        <w:ind w:left="4253"/>
        <w:rPr>
          <w:szCs w:val="24"/>
        </w:rPr>
      </w:pPr>
      <w:r>
        <w:rPr>
          <w:szCs w:val="24"/>
        </w:rPr>
        <w:t>Projeto de Pesquisa</w:t>
      </w:r>
      <w:r w:rsidR="00752A19" w:rsidRPr="00A879F2">
        <w:rPr>
          <w:szCs w:val="24"/>
        </w:rPr>
        <w:t xml:space="preserve"> apresentado ao curso de Ciências Econômicas do Centro de Ciências Sociais Aplicadas (CCSA) da Universidade Federal da Paraíba (UFPB), como requisito para</w:t>
      </w:r>
      <w:r>
        <w:rPr>
          <w:szCs w:val="24"/>
        </w:rPr>
        <w:t xml:space="preserve"> avaliação parcial na disciplina </w:t>
      </w:r>
      <w:r w:rsidR="00F97AF0">
        <w:rPr>
          <w:szCs w:val="24"/>
        </w:rPr>
        <w:t>TCC1</w:t>
      </w:r>
      <w:r>
        <w:rPr>
          <w:szCs w:val="24"/>
        </w:rPr>
        <w:t>.</w:t>
      </w:r>
    </w:p>
    <w:p w14:paraId="623D7742" w14:textId="77777777" w:rsidR="00F97AF0" w:rsidRPr="00A879F2" w:rsidRDefault="00F97AF0" w:rsidP="00752A19">
      <w:pPr>
        <w:spacing w:line="240" w:lineRule="auto"/>
        <w:ind w:left="4253"/>
        <w:rPr>
          <w:szCs w:val="24"/>
        </w:rPr>
      </w:pPr>
    </w:p>
    <w:p w14:paraId="2E29FBCB" w14:textId="77777777" w:rsidR="00752A19" w:rsidRPr="00A879F2" w:rsidRDefault="00752A19" w:rsidP="00752A19">
      <w:pPr>
        <w:ind w:left="4321"/>
        <w:rPr>
          <w:szCs w:val="24"/>
        </w:rPr>
      </w:pPr>
    </w:p>
    <w:p w14:paraId="5C75FA76" w14:textId="2D17CDC2" w:rsidR="00F97AF0" w:rsidRPr="00F97AF0" w:rsidRDefault="00F97AF0" w:rsidP="00F97AF0">
      <w:pPr>
        <w:ind w:left="4320"/>
        <w:rPr>
          <w:szCs w:val="24"/>
        </w:rPr>
      </w:pPr>
      <w:r w:rsidRPr="00F97AF0">
        <w:rPr>
          <w:szCs w:val="24"/>
        </w:rPr>
        <w:t>Orientador: Prof. Dr. Aléssio Tony Cavalcanti de Almeida</w:t>
      </w:r>
    </w:p>
    <w:p w14:paraId="351660A0" w14:textId="77777777" w:rsidR="00F97AF0" w:rsidRPr="00F97AF0" w:rsidRDefault="00F97AF0" w:rsidP="00F97AF0">
      <w:pPr>
        <w:ind w:left="4320"/>
        <w:rPr>
          <w:szCs w:val="24"/>
        </w:rPr>
      </w:pPr>
    </w:p>
    <w:p w14:paraId="686CCF84" w14:textId="39CA2221" w:rsidR="00752A19" w:rsidRDefault="00752A19" w:rsidP="00F97AF0">
      <w:pPr>
        <w:rPr>
          <w:szCs w:val="24"/>
        </w:rPr>
      </w:pPr>
    </w:p>
    <w:p w14:paraId="23629C72" w14:textId="4D555EFD" w:rsidR="00752A19" w:rsidRDefault="00752A19" w:rsidP="00F97AF0">
      <w:pPr>
        <w:rPr>
          <w:szCs w:val="24"/>
        </w:rPr>
      </w:pPr>
    </w:p>
    <w:p w14:paraId="5F29F656" w14:textId="67DC26B1" w:rsidR="007C58CD" w:rsidRDefault="007C58CD" w:rsidP="00752A19">
      <w:pPr>
        <w:jc w:val="center"/>
        <w:rPr>
          <w:szCs w:val="24"/>
        </w:rPr>
      </w:pPr>
    </w:p>
    <w:p w14:paraId="03C55242" w14:textId="43F16E6A" w:rsidR="007C58CD" w:rsidRDefault="007C58CD" w:rsidP="00752A19">
      <w:pPr>
        <w:jc w:val="center"/>
        <w:rPr>
          <w:szCs w:val="24"/>
        </w:rPr>
      </w:pPr>
    </w:p>
    <w:p w14:paraId="25579436" w14:textId="2BDDA75F" w:rsidR="007C58CD" w:rsidRDefault="007C58CD" w:rsidP="0083074A">
      <w:pPr>
        <w:rPr>
          <w:szCs w:val="24"/>
        </w:rPr>
      </w:pPr>
    </w:p>
    <w:p w14:paraId="06A948D8" w14:textId="275C3CB8" w:rsidR="007C58CD" w:rsidRDefault="007C58CD" w:rsidP="00752A19">
      <w:pPr>
        <w:jc w:val="center"/>
        <w:rPr>
          <w:szCs w:val="24"/>
        </w:rPr>
      </w:pPr>
    </w:p>
    <w:p w14:paraId="189225CE" w14:textId="566C6018" w:rsidR="007C58CD" w:rsidRDefault="007C58CD" w:rsidP="00752A19">
      <w:pPr>
        <w:jc w:val="center"/>
        <w:rPr>
          <w:szCs w:val="24"/>
        </w:rPr>
      </w:pPr>
    </w:p>
    <w:p w14:paraId="16AF6E82" w14:textId="4D61C30E" w:rsidR="009E247F" w:rsidRDefault="009E247F" w:rsidP="00752A19">
      <w:pPr>
        <w:jc w:val="center"/>
        <w:rPr>
          <w:szCs w:val="24"/>
        </w:rPr>
      </w:pPr>
    </w:p>
    <w:p w14:paraId="3A84BD30" w14:textId="77777777" w:rsidR="00BF4954" w:rsidRDefault="00BF4954" w:rsidP="00752A19">
      <w:pPr>
        <w:jc w:val="center"/>
        <w:rPr>
          <w:szCs w:val="24"/>
        </w:rPr>
      </w:pPr>
    </w:p>
    <w:p w14:paraId="3CBD04D4" w14:textId="77777777" w:rsidR="007C58CD" w:rsidRPr="00A879F2" w:rsidRDefault="007C58CD" w:rsidP="00752A19">
      <w:pPr>
        <w:jc w:val="center"/>
        <w:rPr>
          <w:szCs w:val="24"/>
        </w:rPr>
      </w:pPr>
    </w:p>
    <w:p w14:paraId="2C8A459E" w14:textId="77777777" w:rsidR="00752A19" w:rsidRDefault="00752A19" w:rsidP="00752A19">
      <w:pPr>
        <w:jc w:val="center"/>
        <w:rPr>
          <w:b/>
          <w:szCs w:val="24"/>
        </w:rPr>
      </w:pPr>
      <w:r w:rsidRPr="00A879F2">
        <w:rPr>
          <w:b/>
          <w:szCs w:val="24"/>
        </w:rPr>
        <w:t xml:space="preserve">JOÃO PESSOA </w:t>
      </w:r>
    </w:p>
    <w:p w14:paraId="30C13E25" w14:textId="38B1EEE3" w:rsidR="00560822" w:rsidRDefault="002D755D" w:rsidP="00DD31DC">
      <w:pPr>
        <w:jc w:val="center"/>
      </w:pPr>
      <w:bookmarkStart w:id="0" w:name="_Toc119922504"/>
      <w:r>
        <w:rPr>
          <w:b/>
          <w:szCs w:val="24"/>
        </w:rPr>
        <w:t>202</w:t>
      </w:r>
      <w:r w:rsidR="00F97AF0">
        <w:rPr>
          <w:b/>
          <w:szCs w:val="24"/>
        </w:rPr>
        <w:t>5</w:t>
      </w:r>
    </w:p>
    <w:p w14:paraId="707248AE" w14:textId="1D1E497B" w:rsidR="00DD31DC" w:rsidRDefault="00F01AEE" w:rsidP="00F01AEE">
      <w:pPr>
        <w:jc w:val="center"/>
        <w:rPr>
          <w:b/>
          <w:bCs/>
        </w:rPr>
      </w:pPr>
      <w:r w:rsidRPr="00F01AEE">
        <w:rPr>
          <w:b/>
          <w:bCs/>
        </w:rPr>
        <w:lastRenderedPageBreak/>
        <w:t>SUMÁRIO</w:t>
      </w:r>
    </w:p>
    <w:sdt>
      <w:sdtPr>
        <w:id w:val="775140049"/>
        <w:docPartObj>
          <w:docPartGallery w:val="Table of Contents"/>
          <w:docPartUnique/>
        </w:docPartObj>
      </w:sdtPr>
      <w:sdtEndPr>
        <w:rPr>
          <w:b/>
          <w:bCs/>
        </w:rPr>
      </w:sdtEndPr>
      <w:sdtContent>
        <w:p w14:paraId="0C459A4C" w14:textId="7DE737C2" w:rsidR="005C6ACD" w:rsidRDefault="005C6ACD" w:rsidP="005C6ACD"/>
        <w:p w14:paraId="349BCDD1" w14:textId="6BFEFB53" w:rsidR="00D16D85" w:rsidRDefault="005C6ACD">
          <w:pPr>
            <w:pStyle w:val="Sumrio1"/>
            <w:tabs>
              <w:tab w:val="left" w:pos="440"/>
              <w:tab w:val="right" w:leader="dot" w:pos="8494"/>
            </w:tabs>
            <w:rPr>
              <w:rFonts w:asciiTheme="minorHAnsi" w:eastAsiaTheme="minorEastAsia" w:hAnsiTheme="minorHAnsi"/>
              <w:noProof/>
              <w:kern w:val="2"/>
              <w:szCs w:val="24"/>
              <w:lang w:eastAsia="pt-BR"/>
              <w14:ligatures w14:val="standardContextual"/>
            </w:rPr>
          </w:pPr>
          <w:r>
            <w:fldChar w:fldCharType="begin"/>
          </w:r>
          <w:r>
            <w:instrText xml:space="preserve"> TOC \o "1-3" \h \z \u </w:instrText>
          </w:r>
          <w:r>
            <w:fldChar w:fldCharType="separate"/>
          </w:r>
          <w:hyperlink w:anchor="_Toc210058155" w:history="1">
            <w:r w:rsidR="00D16D85" w:rsidRPr="00BA6341">
              <w:rPr>
                <w:rStyle w:val="Hyperlink"/>
                <w:noProof/>
              </w:rPr>
              <w:t>1</w:t>
            </w:r>
            <w:r w:rsidR="00D16D85">
              <w:rPr>
                <w:rFonts w:asciiTheme="minorHAnsi" w:eastAsiaTheme="minorEastAsia" w:hAnsiTheme="minorHAnsi"/>
                <w:noProof/>
                <w:kern w:val="2"/>
                <w:szCs w:val="24"/>
                <w:lang w:eastAsia="pt-BR"/>
                <w14:ligatures w14:val="standardContextual"/>
              </w:rPr>
              <w:tab/>
            </w:r>
            <w:r w:rsidR="00D16D85" w:rsidRPr="00BA6341">
              <w:rPr>
                <w:rStyle w:val="Hyperlink"/>
                <w:noProof/>
              </w:rPr>
              <w:t>INTRODUÇÃO</w:t>
            </w:r>
            <w:r w:rsidR="00D16D85">
              <w:rPr>
                <w:noProof/>
                <w:webHidden/>
              </w:rPr>
              <w:tab/>
            </w:r>
            <w:r w:rsidR="00D16D85">
              <w:rPr>
                <w:noProof/>
                <w:webHidden/>
              </w:rPr>
              <w:fldChar w:fldCharType="begin"/>
            </w:r>
            <w:r w:rsidR="00D16D85">
              <w:rPr>
                <w:noProof/>
                <w:webHidden/>
              </w:rPr>
              <w:instrText xml:space="preserve"> PAGEREF _Toc210058155 \h </w:instrText>
            </w:r>
            <w:r w:rsidR="00D16D85">
              <w:rPr>
                <w:noProof/>
                <w:webHidden/>
              </w:rPr>
            </w:r>
            <w:r w:rsidR="00D16D85">
              <w:rPr>
                <w:noProof/>
                <w:webHidden/>
              </w:rPr>
              <w:fldChar w:fldCharType="separate"/>
            </w:r>
            <w:r w:rsidR="00F7526F">
              <w:rPr>
                <w:noProof/>
                <w:webHidden/>
              </w:rPr>
              <w:t>6</w:t>
            </w:r>
            <w:r w:rsidR="00D16D85">
              <w:rPr>
                <w:noProof/>
                <w:webHidden/>
              </w:rPr>
              <w:fldChar w:fldCharType="end"/>
            </w:r>
          </w:hyperlink>
        </w:p>
        <w:p w14:paraId="58339BC6" w14:textId="6027121A" w:rsidR="00D16D85" w:rsidRDefault="00D16D85">
          <w:pPr>
            <w:pStyle w:val="Sumrio2"/>
            <w:rPr>
              <w:rFonts w:asciiTheme="minorHAnsi" w:eastAsiaTheme="minorEastAsia" w:hAnsiTheme="minorHAnsi"/>
              <w:noProof/>
              <w:kern w:val="2"/>
              <w:szCs w:val="24"/>
              <w:lang w:eastAsia="pt-BR"/>
              <w14:ligatures w14:val="standardContextual"/>
            </w:rPr>
          </w:pPr>
          <w:hyperlink w:anchor="_Toc210058156" w:history="1">
            <w:r w:rsidRPr="00BA6341">
              <w:rPr>
                <w:rStyle w:val="Hyperlink"/>
                <w:noProof/>
              </w:rPr>
              <w:t>1.1</w:t>
            </w:r>
            <w:r>
              <w:rPr>
                <w:rFonts w:asciiTheme="minorHAnsi" w:eastAsiaTheme="minorEastAsia" w:hAnsiTheme="minorHAnsi"/>
                <w:noProof/>
                <w:kern w:val="2"/>
                <w:szCs w:val="24"/>
                <w:lang w:eastAsia="pt-BR"/>
                <w14:ligatures w14:val="standardContextual"/>
              </w:rPr>
              <w:tab/>
            </w:r>
            <w:r w:rsidRPr="00BA6341">
              <w:rPr>
                <w:rStyle w:val="Hyperlink"/>
                <w:noProof/>
              </w:rPr>
              <w:t>FORMULAÇÃO DO PROBLEMA</w:t>
            </w:r>
            <w:r>
              <w:rPr>
                <w:noProof/>
                <w:webHidden/>
              </w:rPr>
              <w:tab/>
            </w:r>
            <w:r>
              <w:rPr>
                <w:noProof/>
                <w:webHidden/>
              </w:rPr>
              <w:fldChar w:fldCharType="begin"/>
            </w:r>
            <w:r>
              <w:rPr>
                <w:noProof/>
                <w:webHidden/>
              </w:rPr>
              <w:instrText xml:space="preserve"> PAGEREF _Toc210058156 \h </w:instrText>
            </w:r>
            <w:r>
              <w:rPr>
                <w:noProof/>
                <w:webHidden/>
              </w:rPr>
            </w:r>
            <w:r>
              <w:rPr>
                <w:noProof/>
                <w:webHidden/>
              </w:rPr>
              <w:fldChar w:fldCharType="separate"/>
            </w:r>
            <w:r w:rsidR="00F7526F">
              <w:rPr>
                <w:noProof/>
                <w:webHidden/>
              </w:rPr>
              <w:t>11</w:t>
            </w:r>
            <w:r>
              <w:rPr>
                <w:noProof/>
                <w:webHidden/>
              </w:rPr>
              <w:fldChar w:fldCharType="end"/>
            </w:r>
          </w:hyperlink>
        </w:p>
        <w:p w14:paraId="4EEBD465" w14:textId="342A686A" w:rsidR="00D16D85" w:rsidRDefault="00D16D85">
          <w:pPr>
            <w:pStyle w:val="Sumrio2"/>
            <w:rPr>
              <w:rFonts w:asciiTheme="minorHAnsi" w:eastAsiaTheme="minorEastAsia" w:hAnsiTheme="minorHAnsi"/>
              <w:noProof/>
              <w:kern w:val="2"/>
              <w:szCs w:val="24"/>
              <w:lang w:eastAsia="pt-BR"/>
              <w14:ligatures w14:val="standardContextual"/>
            </w:rPr>
          </w:pPr>
          <w:hyperlink w:anchor="_Toc210058157" w:history="1">
            <w:r w:rsidRPr="00BA6341">
              <w:rPr>
                <w:rStyle w:val="Hyperlink"/>
                <w:noProof/>
              </w:rPr>
              <w:t>1.2</w:t>
            </w:r>
            <w:r>
              <w:rPr>
                <w:rFonts w:asciiTheme="minorHAnsi" w:eastAsiaTheme="minorEastAsia" w:hAnsiTheme="minorHAnsi"/>
                <w:noProof/>
                <w:kern w:val="2"/>
                <w:szCs w:val="24"/>
                <w:lang w:eastAsia="pt-BR"/>
                <w14:ligatures w14:val="standardContextual"/>
              </w:rPr>
              <w:tab/>
            </w:r>
            <w:r w:rsidRPr="00BA6341">
              <w:rPr>
                <w:rStyle w:val="Hyperlink"/>
                <w:noProof/>
              </w:rPr>
              <w:t>OBJETIVO GERAL</w:t>
            </w:r>
            <w:r>
              <w:rPr>
                <w:noProof/>
                <w:webHidden/>
              </w:rPr>
              <w:tab/>
            </w:r>
            <w:r>
              <w:rPr>
                <w:noProof/>
                <w:webHidden/>
              </w:rPr>
              <w:fldChar w:fldCharType="begin"/>
            </w:r>
            <w:r>
              <w:rPr>
                <w:noProof/>
                <w:webHidden/>
              </w:rPr>
              <w:instrText xml:space="preserve"> PAGEREF _Toc210058157 \h </w:instrText>
            </w:r>
            <w:r>
              <w:rPr>
                <w:noProof/>
                <w:webHidden/>
              </w:rPr>
            </w:r>
            <w:r>
              <w:rPr>
                <w:noProof/>
                <w:webHidden/>
              </w:rPr>
              <w:fldChar w:fldCharType="separate"/>
            </w:r>
            <w:r w:rsidR="00F7526F">
              <w:rPr>
                <w:noProof/>
                <w:webHidden/>
              </w:rPr>
              <w:t>11</w:t>
            </w:r>
            <w:r>
              <w:rPr>
                <w:noProof/>
                <w:webHidden/>
              </w:rPr>
              <w:fldChar w:fldCharType="end"/>
            </w:r>
          </w:hyperlink>
        </w:p>
        <w:p w14:paraId="483FFBE2" w14:textId="1133424A" w:rsidR="00D16D85" w:rsidRDefault="00D16D85">
          <w:pPr>
            <w:pStyle w:val="Sumrio1"/>
            <w:tabs>
              <w:tab w:val="left" w:pos="440"/>
              <w:tab w:val="right" w:leader="dot" w:pos="8494"/>
            </w:tabs>
            <w:rPr>
              <w:rFonts w:asciiTheme="minorHAnsi" w:eastAsiaTheme="minorEastAsia" w:hAnsiTheme="minorHAnsi"/>
              <w:noProof/>
              <w:kern w:val="2"/>
              <w:szCs w:val="24"/>
              <w:lang w:eastAsia="pt-BR"/>
              <w14:ligatures w14:val="standardContextual"/>
            </w:rPr>
          </w:pPr>
          <w:hyperlink w:anchor="_Toc210058158" w:history="1">
            <w:r w:rsidRPr="00BA6341">
              <w:rPr>
                <w:rStyle w:val="Hyperlink"/>
                <w:noProof/>
              </w:rPr>
              <w:t>2</w:t>
            </w:r>
            <w:r>
              <w:rPr>
                <w:rFonts w:asciiTheme="minorHAnsi" w:eastAsiaTheme="minorEastAsia" w:hAnsiTheme="minorHAnsi"/>
                <w:noProof/>
                <w:kern w:val="2"/>
                <w:szCs w:val="24"/>
                <w:lang w:eastAsia="pt-BR"/>
                <w14:ligatures w14:val="standardContextual"/>
              </w:rPr>
              <w:tab/>
            </w:r>
            <w:r w:rsidRPr="00BA6341">
              <w:rPr>
                <w:rStyle w:val="Hyperlink"/>
                <w:noProof/>
              </w:rPr>
              <w:t>FUNDAMENTAÇÃO TEÓRICA</w:t>
            </w:r>
            <w:r>
              <w:rPr>
                <w:noProof/>
                <w:webHidden/>
              </w:rPr>
              <w:tab/>
            </w:r>
            <w:r>
              <w:rPr>
                <w:noProof/>
                <w:webHidden/>
              </w:rPr>
              <w:fldChar w:fldCharType="begin"/>
            </w:r>
            <w:r>
              <w:rPr>
                <w:noProof/>
                <w:webHidden/>
              </w:rPr>
              <w:instrText xml:space="preserve"> PAGEREF _Toc210058158 \h </w:instrText>
            </w:r>
            <w:r>
              <w:rPr>
                <w:noProof/>
                <w:webHidden/>
              </w:rPr>
            </w:r>
            <w:r>
              <w:rPr>
                <w:noProof/>
                <w:webHidden/>
              </w:rPr>
              <w:fldChar w:fldCharType="separate"/>
            </w:r>
            <w:r w:rsidR="00F7526F">
              <w:rPr>
                <w:noProof/>
                <w:webHidden/>
              </w:rPr>
              <w:t>11</w:t>
            </w:r>
            <w:r>
              <w:rPr>
                <w:noProof/>
                <w:webHidden/>
              </w:rPr>
              <w:fldChar w:fldCharType="end"/>
            </w:r>
          </w:hyperlink>
        </w:p>
        <w:p w14:paraId="59AEFB18" w14:textId="10779D53" w:rsidR="00D16D85" w:rsidRDefault="00D16D85">
          <w:pPr>
            <w:pStyle w:val="Sumrio2"/>
            <w:rPr>
              <w:rFonts w:asciiTheme="minorHAnsi" w:eastAsiaTheme="minorEastAsia" w:hAnsiTheme="minorHAnsi"/>
              <w:noProof/>
              <w:kern w:val="2"/>
              <w:szCs w:val="24"/>
              <w:lang w:eastAsia="pt-BR"/>
              <w14:ligatures w14:val="standardContextual"/>
            </w:rPr>
          </w:pPr>
          <w:hyperlink w:anchor="_Toc210058159" w:history="1">
            <w:r w:rsidRPr="00BA6341">
              <w:rPr>
                <w:rStyle w:val="Hyperlink"/>
                <w:noProof/>
              </w:rPr>
              <w:t>2.1</w:t>
            </w:r>
            <w:r>
              <w:rPr>
                <w:rFonts w:asciiTheme="minorHAnsi" w:eastAsiaTheme="minorEastAsia" w:hAnsiTheme="minorHAnsi"/>
                <w:noProof/>
                <w:kern w:val="2"/>
                <w:szCs w:val="24"/>
                <w:lang w:eastAsia="pt-BR"/>
                <w14:ligatures w14:val="standardContextual"/>
              </w:rPr>
              <w:tab/>
            </w:r>
            <w:r w:rsidRPr="00BA6341">
              <w:rPr>
                <w:rStyle w:val="Hyperlink"/>
                <w:noProof/>
              </w:rPr>
              <w:t>ZONA FRANCA DE MANAUS E INCENTIVOS FISCAIS</w:t>
            </w:r>
            <w:r>
              <w:rPr>
                <w:noProof/>
                <w:webHidden/>
              </w:rPr>
              <w:tab/>
            </w:r>
            <w:r>
              <w:rPr>
                <w:noProof/>
                <w:webHidden/>
              </w:rPr>
              <w:fldChar w:fldCharType="begin"/>
            </w:r>
            <w:r>
              <w:rPr>
                <w:noProof/>
                <w:webHidden/>
              </w:rPr>
              <w:instrText xml:space="preserve"> PAGEREF _Toc210058159 \h </w:instrText>
            </w:r>
            <w:r>
              <w:rPr>
                <w:noProof/>
                <w:webHidden/>
              </w:rPr>
            </w:r>
            <w:r>
              <w:rPr>
                <w:noProof/>
                <w:webHidden/>
              </w:rPr>
              <w:fldChar w:fldCharType="separate"/>
            </w:r>
            <w:r w:rsidR="00F7526F">
              <w:rPr>
                <w:noProof/>
                <w:webHidden/>
              </w:rPr>
              <w:t>11</w:t>
            </w:r>
            <w:r>
              <w:rPr>
                <w:noProof/>
                <w:webHidden/>
              </w:rPr>
              <w:fldChar w:fldCharType="end"/>
            </w:r>
          </w:hyperlink>
        </w:p>
        <w:p w14:paraId="28E3BA70" w14:textId="0D2C7B19" w:rsidR="00D16D85" w:rsidRDefault="00D16D85">
          <w:pPr>
            <w:pStyle w:val="Sumrio2"/>
            <w:rPr>
              <w:rFonts w:asciiTheme="minorHAnsi" w:eastAsiaTheme="minorEastAsia" w:hAnsiTheme="minorHAnsi"/>
              <w:noProof/>
              <w:kern w:val="2"/>
              <w:szCs w:val="24"/>
              <w:lang w:eastAsia="pt-BR"/>
              <w14:ligatures w14:val="standardContextual"/>
            </w:rPr>
          </w:pPr>
          <w:hyperlink w:anchor="_Toc210058160" w:history="1">
            <w:r w:rsidRPr="00BA6341">
              <w:rPr>
                <w:rStyle w:val="Hyperlink"/>
                <w:noProof/>
              </w:rPr>
              <w:t>2.2</w:t>
            </w:r>
            <w:r>
              <w:rPr>
                <w:rFonts w:asciiTheme="minorHAnsi" w:eastAsiaTheme="minorEastAsia" w:hAnsiTheme="minorHAnsi"/>
                <w:noProof/>
                <w:kern w:val="2"/>
                <w:szCs w:val="24"/>
                <w:lang w:eastAsia="pt-BR"/>
                <w14:ligatures w14:val="standardContextual"/>
              </w:rPr>
              <w:tab/>
            </w:r>
            <w:r w:rsidRPr="00BA6341">
              <w:rPr>
                <w:rStyle w:val="Hyperlink"/>
                <w:noProof/>
              </w:rPr>
              <w:t>EFICIÊNCIA PRODUTIVA E A LÓGICA DO DEA</w:t>
            </w:r>
            <w:r>
              <w:rPr>
                <w:noProof/>
                <w:webHidden/>
              </w:rPr>
              <w:tab/>
            </w:r>
            <w:r>
              <w:rPr>
                <w:noProof/>
                <w:webHidden/>
              </w:rPr>
              <w:fldChar w:fldCharType="begin"/>
            </w:r>
            <w:r>
              <w:rPr>
                <w:noProof/>
                <w:webHidden/>
              </w:rPr>
              <w:instrText xml:space="preserve"> PAGEREF _Toc210058160 \h </w:instrText>
            </w:r>
            <w:r>
              <w:rPr>
                <w:noProof/>
                <w:webHidden/>
              </w:rPr>
            </w:r>
            <w:r>
              <w:rPr>
                <w:noProof/>
                <w:webHidden/>
              </w:rPr>
              <w:fldChar w:fldCharType="separate"/>
            </w:r>
            <w:r w:rsidR="00F7526F">
              <w:rPr>
                <w:noProof/>
                <w:webHidden/>
              </w:rPr>
              <w:t>13</w:t>
            </w:r>
            <w:r>
              <w:rPr>
                <w:noProof/>
                <w:webHidden/>
              </w:rPr>
              <w:fldChar w:fldCharType="end"/>
            </w:r>
          </w:hyperlink>
        </w:p>
        <w:p w14:paraId="437411AF" w14:textId="53368E78" w:rsidR="00D16D85" w:rsidRDefault="00D16D85">
          <w:pPr>
            <w:pStyle w:val="Sumrio2"/>
            <w:rPr>
              <w:rFonts w:asciiTheme="minorHAnsi" w:eastAsiaTheme="minorEastAsia" w:hAnsiTheme="minorHAnsi"/>
              <w:noProof/>
              <w:kern w:val="2"/>
              <w:szCs w:val="24"/>
              <w:lang w:eastAsia="pt-BR"/>
              <w14:ligatures w14:val="standardContextual"/>
            </w:rPr>
          </w:pPr>
          <w:hyperlink w:anchor="_Toc210058161" w:history="1">
            <w:r w:rsidRPr="00BA6341">
              <w:rPr>
                <w:rStyle w:val="Hyperlink"/>
                <w:noProof/>
              </w:rPr>
              <w:t>2.3</w:t>
            </w:r>
            <w:r>
              <w:rPr>
                <w:rFonts w:asciiTheme="minorHAnsi" w:eastAsiaTheme="minorEastAsia" w:hAnsiTheme="minorHAnsi"/>
                <w:noProof/>
                <w:kern w:val="2"/>
                <w:szCs w:val="24"/>
                <w:lang w:eastAsia="pt-BR"/>
                <w14:ligatures w14:val="standardContextual"/>
              </w:rPr>
              <w:tab/>
            </w:r>
            <w:r w:rsidRPr="00BA6341">
              <w:rPr>
                <w:rStyle w:val="Hyperlink"/>
                <w:noProof/>
              </w:rPr>
              <w:t>CLUSTERIZAÇÃO — K-MEANS E SUA UTILIDADE EM SEGMENTAR UNIÃO DE PRODUTORES</w:t>
            </w:r>
            <w:r>
              <w:rPr>
                <w:noProof/>
                <w:webHidden/>
              </w:rPr>
              <w:tab/>
            </w:r>
            <w:r>
              <w:rPr>
                <w:noProof/>
                <w:webHidden/>
              </w:rPr>
              <w:fldChar w:fldCharType="begin"/>
            </w:r>
            <w:r>
              <w:rPr>
                <w:noProof/>
                <w:webHidden/>
              </w:rPr>
              <w:instrText xml:space="preserve"> PAGEREF _Toc210058161 \h </w:instrText>
            </w:r>
            <w:r>
              <w:rPr>
                <w:noProof/>
                <w:webHidden/>
              </w:rPr>
            </w:r>
            <w:r>
              <w:rPr>
                <w:noProof/>
                <w:webHidden/>
              </w:rPr>
              <w:fldChar w:fldCharType="separate"/>
            </w:r>
            <w:r w:rsidR="00F7526F">
              <w:rPr>
                <w:noProof/>
                <w:webHidden/>
              </w:rPr>
              <w:t>16</w:t>
            </w:r>
            <w:r>
              <w:rPr>
                <w:noProof/>
                <w:webHidden/>
              </w:rPr>
              <w:fldChar w:fldCharType="end"/>
            </w:r>
          </w:hyperlink>
        </w:p>
        <w:p w14:paraId="56D74CDA" w14:textId="16865F6A" w:rsidR="00D16D85" w:rsidRDefault="00D16D85">
          <w:pPr>
            <w:pStyle w:val="Sumrio2"/>
            <w:rPr>
              <w:rFonts w:asciiTheme="minorHAnsi" w:eastAsiaTheme="minorEastAsia" w:hAnsiTheme="minorHAnsi"/>
              <w:noProof/>
              <w:kern w:val="2"/>
              <w:szCs w:val="24"/>
              <w:lang w:eastAsia="pt-BR"/>
              <w14:ligatures w14:val="standardContextual"/>
            </w:rPr>
          </w:pPr>
          <w:hyperlink w:anchor="_Toc210058162" w:history="1">
            <w:r w:rsidRPr="00BA6341">
              <w:rPr>
                <w:rStyle w:val="Hyperlink"/>
                <w:noProof/>
              </w:rPr>
              <w:t>2.4</w:t>
            </w:r>
            <w:r>
              <w:rPr>
                <w:rFonts w:asciiTheme="minorHAnsi" w:eastAsiaTheme="minorEastAsia" w:hAnsiTheme="minorHAnsi"/>
                <w:noProof/>
                <w:kern w:val="2"/>
                <w:szCs w:val="24"/>
                <w:lang w:eastAsia="pt-BR"/>
                <w14:ligatures w14:val="standardContextual"/>
              </w:rPr>
              <w:tab/>
            </w:r>
            <w:r w:rsidRPr="00BA6341">
              <w:rPr>
                <w:rStyle w:val="Hyperlink"/>
                <w:noProof/>
              </w:rPr>
              <w:t>INTERAÇÃO ENTRE SEGMENTAÇÃO E ANÁLISE DE EFICIÊNCIA</w:t>
            </w:r>
            <w:r>
              <w:rPr>
                <w:noProof/>
                <w:webHidden/>
              </w:rPr>
              <w:tab/>
            </w:r>
            <w:r>
              <w:rPr>
                <w:noProof/>
                <w:webHidden/>
              </w:rPr>
              <w:fldChar w:fldCharType="begin"/>
            </w:r>
            <w:r>
              <w:rPr>
                <w:noProof/>
                <w:webHidden/>
              </w:rPr>
              <w:instrText xml:space="preserve"> PAGEREF _Toc210058162 \h </w:instrText>
            </w:r>
            <w:r>
              <w:rPr>
                <w:noProof/>
                <w:webHidden/>
              </w:rPr>
            </w:r>
            <w:r>
              <w:rPr>
                <w:noProof/>
                <w:webHidden/>
              </w:rPr>
              <w:fldChar w:fldCharType="separate"/>
            </w:r>
            <w:r w:rsidR="00F7526F">
              <w:rPr>
                <w:noProof/>
                <w:webHidden/>
              </w:rPr>
              <w:t>17</w:t>
            </w:r>
            <w:r>
              <w:rPr>
                <w:noProof/>
                <w:webHidden/>
              </w:rPr>
              <w:fldChar w:fldCharType="end"/>
            </w:r>
          </w:hyperlink>
        </w:p>
        <w:p w14:paraId="1CAC1EB7" w14:textId="7916B90A" w:rsidR="00D16D85" w:rsidRDefault="00D16D85">
          <w:pPr>
            <w:pStyle w:val="Sumrio1"/>
            <w:tabs>
              <w:tab w:val="left" w:pos="440"/>
              <w:tab w:val="right" w:leader="dot" w:pos="8494"/>
            </w:tabs>
            <w:rPr>
              <w:rFonts w:asciiTheme="minorHAnsi" w:eastAsiaTheme="minorEastAsia" w:hAnsiTheme="minorHAnsi"/>
              <w:noProof/>
              <w:kern w:val="2"/>
              <w:szCs w:val="24"/>
              <w:lang w:eastAsia="pt-BR"/>
              <w14:ligatures w14:val="standardContextual"/>
            </w:rPr>
          </w:pPr>
          <w:hyperlink w:anchor="_Toc210058163" w:history="1">
            <w:r w:rsidRPr="00BA6341">
              <w:rPr>
                <w:rStyle w:val="Hyperlink"/>
                <w:noProof/>
              </w:rPr>
              <w:t>3</w:t>
            </w:r>
            <w:r>
              <w:rPr>
                <w:rFonts w:asciiTheme="minorHAnsi" w:eastAsiaTheme="minorEastAsia" w:hAnsiTheme="minorHAnsi"/>
                <w:noProof/>
                <w:kern w:val="2"/>
                <w:szCs w:val="24"/>
                <w:lang w:eastAsia="pt-BR"/>
                <w14:ligatures w14:val="standardContextual"/>
              </w:rPr>
              <w:tab/>
            </w:r>
            <w:r w:rsidRPr="00BA6341">
              <w:rPr>
                <w:rStyle w:val="Hyperlink"/>
                <w:noProof/>
              </w:rPr>
              <w:t>REVISÃO DE LITERATURA</w:t>
            </w:r>
            <w:r>
              <w:rPr>
                <w:noProof/>
                <w:webHidden/>
              </w:rPr>
              <w:tab/>
            </w:r>
            <w:r>
              <w:rPr>
                <w:noProof/>
                <w:webHidden/>
              </w:rPr>
              <w:fldChar w:fldCharType="begin"/>
            </w:r>
            <w:r>
              <w:rPr>
                <w:noProof/>
                <w:webHidden/>
              </w:rPr>
              <w:instrText xml:space="preserve"> PAGEREF _Toc210058163 \h </w:instrText>
            </w:r>
            <w:r>
              <w:rPr>
                <w:noProof/>
                <w:webHidden/>
              </w:rPr>
            </w:r>
            <w:r>
              <w:rPr>
                <w:noProof/>
                <w:webHidden/>
              </w:rPr>
              <w:fldChar w:fldCharType="separate"/>
            </w:r>
            <w:r w:rsidR="00F7526F">
              <w:rPr>
                <w:noProof/>
                <w:webHidden/>
              </w:rPr>
              <w:t>19</w:t>
            </w:r>
            <w:r>
              <w:rPr>
                <w:noProof/>
                <w:webHidden/>
              </w:rPr>
              <w:fldChar w:fldCharType="end"/>
            </w:r>
          </w:hyperlink>
        </w:p>
        <w:p w14:paraId="12230BF4" w14:textId="780A783A" w:rsidR="00D16D85" w:rsidRDefault="00D16D85">
          <w:pPr>
            <w:pStyle w:val="Sumrio2"/>
            <w:rPr>
              <w:rFonts w:asciiTheme="minorHAnsi" w:eastAsiaTheme="minorEastAsia" w:hAnsiTheme="minorHAnsi"/>
              <w:noProof/>
              <w:kern w:val="2"/>
              <w:szCs w:val="24"/>
              <w:lang w:eastAsia="pt-BR"/>
              <w14:ligatures w14:val="standardContextual"/>
            </w:rPr>
          </w:pPr>
          <w:hyperlink w:anchor="_Toc210058164" w:history="1">
            <w:r w:rsidRPr="00BA6341">
              <w:rPr>
                <w:rStyle w:val="Hyperlink"/>
                <w:noProof/>
              </w:rPr>
              <w:t>3.1</w:t>
            </w:r>
            <w:r>
              <w:rPr>
                <w:rFonts w:asciiTheme="minorHAnsi" w:eastAsiaTheme="minorEastAsia" w:hAnsiTheme="minorHAnsi"/>
                <w:noProof/>
                <w:kern w:val="2"/>
                <w:szCs w:val="24"/>
                <w:lang w:eastAsia="pt-BR"/>
                <w14:ligatures w14:val="standardContextual"/>
              </w:rPr>
              <w:tab/>
            </w:r>
            <w:r w:rsidRPr="00BA6341">
              <w:rPr>
                <w:rStyle w:val="Hyperlink"/>
                <w:noProof/>
              </w:rPr>
              <w:t>ESTUDOS DE DEA NO PIM E ZFM (2010–2014, LEI DE INFORMÁTICA)</w:t>
            </w:r>
            <w:r>
              <w:rPr>
                <w:noProof/>
                <w:webHidden/>
              </w:rPr>
              <w:tab/>
            </w:r>
            <w:r>
              <w:rPr>
                <w:noProof/>
                <w:webHidden/>
              </w:rPr>
              <w:fldChar w:fldCharType="begin"/>
            </w:r>
            <w:r>
              <w:rPr>
                <w:noProof/>
                <w:webHidden/>
              </w:rPr>
              <w:instrText xml:space="preserve"> PAGEREF _Toc210058164 \h </w:instrText>
            </w:r>
            <w:r>
              <w:rPr>
                <w:noProof/>
                <w:webHidden/>
              </w:rPr>
            </w:r>
            <w:r>
              <w:rPr>
                <w:noProof/>
                <w:webHidden/>
              </w:rPr>
              <w:fldChar w:fldCharType="separate"/>
            </w:r>
            <w:r w:rsidR="00F7526F">
              <w:rPr>
                <w:noProof/>
                <w:webHidden/>
              </w:rPr>
              <w:t>19</w:t>
            </w:r>
            <w:r>
              <w:rPr>
                <w:noProof/>
                <w:webHidden/>
              </w:rPr>
              <w:fldChar w:fldCharType="end"/>
            </w:r>
          </w:hyperlink>
        </w:p>
        <w:p w14:paraId="658E4F54" w14:textId="2A29358B" w:rsidR="00D16D85" w:rsidRDefault="00D16D85">
          <w:pPr>
            <w:pStyle w:val="Sumrio2"/>
            <w:tabs>
              <w:tab w:val="left" w:pos="960"/>
            </w:tabs>
            <w:rPr>
              <w:rFonts w:asciiTheme="minorHAnsi" w:eastAsiaTheme="minorEastAsia" w:hAnsiTheme="minorHAnsi"/>
              <w:noProof/>
              <w:kern w:val="2"/>
              <w:szCs w:val="24"/>
              <w:lang w:eastAsia="pt-BR"/>
              <w14:ligatures w14:val="standardContextual"/>
            </w:rPr>
          </w:pPr>
          <w:hyperlink w:anchor="_Toc210058165" w:history="1">
            <w:r w:rsidRPr="00BA6341">
              <w:rPr>
                <w:rStyle w:val="Hyperlink"/>
                <w:noProof/>
              </w:rPr>
              <w:t>3.1.1</w:t>
            </w:r>
            <w:r>
              <w:rPr>
                <w:rFonts w:asciiTheme="minorHAnsi" w:eastAsiaTheme="minorEastAsia" w:hAnsiTheme="minorHAnsi"/>
                <w:noProof/>
                <w:kern w:val="2"/>
                <w:szCs w:val="24"/>
                <w:lang w:eastAsia="pt-BR"/>
                <w14:ligatures w14:val="standardContextual"/>
              </w:rPr>
              <w:tab/>
            </w:r>
            <w:r w:rsidRPr="00BA6341">
              <w:rPr>
                <w:rStyle w:val="Hyperlink"/>
                <w:noProof/>
              </w:rPr>
              <w:t>DEA E CONTRAPARTIDAS DE P&amp;D NO ÂMBITO DA LEI DE INFORMÁTICA</w:t>
            </w:r>
            <w:r>
              <w:rPr>
                <w:noProof/>
                <w:webHidden/>
              </w:rPr>
              <w:tab/>
            </w:r>
            <w:r>
              <w:rPr>
                <w:noProof/>
                <w:webHidden/>
              </w:rPr>
              <w:fldChar w:fldCharType="begin"/>
            </w:r>
            <w:r>
              <w:rPr>
                <w:noProof/>
                <w:webHidden/>
              </w:rPr>
              <w:instrText xml:space="preserve"> PAGEREF _Toc210058165 \h </w:instrText>
            </w:r>
            <w:r>
              <w:rPr>
                <w:noProof/>
                <w:webHidden/>
              </w:rPr>
            </w:r>
            <w:r>
              <w:rPr>
                <w:noProof/>
                <w:webHidden/>
              </w:rPr>
              <w:fldChar w:fldCharType="separate"/>
            </w:r>
            <w:r w:rsidR="00F7526F">
              <w:rPr>
                <w:noProof/>
                <w:webHidden/>
              </w:rPr>
              <w:t>19</w:t>
            </w:r>
            <w:r>
              <w:rPr>
                <w:noProof/>
                <w:webHidden/>
              </w:rPr>
              <w:fldChar w:fldCharType="end"/>
            </w:r>
          </w:hyperlink>
        </w:p>
        <w:p w14:paraId="1F86327E" w14:textId="06FBEF8C" w:rsidR="00D16D85" w:rsidRDefault="00D16D85">
          <w:pPr>
            <w:pStyle w:val="Sumrio2"/>
            <w:tabs>
              <w:tab w:val="left" w:pos="960"/>
            </w:tabs>
            <w:rPr>
              <w:rFonts w:asciiTheme="minorHAnsi" w:eastAsiaTheme="minorEastAsia" w:hAnsiTheme="minorHAnsi"/>
              <w:noProof/>
              <w:kern w:val="2"/>
              <w:szCs w:val="24"/>
              <w:lang w:eastAsia="pt-BR"/>
              <w14:ligatures w14:val="standardContextual"/>
            </w:rPr>
          </w:pPr>
          <w:hyperlink w:anchor="_Toc210058166" w:history="1">
            <w:r w:rsidRPr="00BA6341">
              <w:rPr>
                <w:rStyle w:val="Hyperlink"/>
                <w:noProof/>
              </w:rPr>
              <w:t>3.1.2</w:t>
            </w:r>
            <w:r>
              <w:rPr>
                <w:rFonts w:asciiTheme="minorHAnsi" w:eastAsiaTheme="minorEastAsia" w:hAnsiTheme="minorHAnsi"/>
                <w:noProof/>
                <w:kern w:val="2"/>
                <w:szCs w:val="24"/>
                <w:lang w:eastAsia="pt-BR"/>
                <w14:ligatures w14:val="standardContextual"/>
              </w:rPr>
              <w:tab/>
            </w:r>
            <w:r w:rsidRPr="00BA6341">
              <w:rPr>
                <w:rStyle w:val="Hyperlink"/>
                <w:noProof/>
              </w:rPr>
              <w:t>DEA EM NÍVEL SETORIAL: HETEROGENEIDADE NO PIM</w:t>
            </w:r>
            <w:r>
              <w:rPr>
                <w:noProof/>
                <w:webHidden/>
              </w:rPr>
              <w:tab/>
            </w:r>
            <w:r>
              <w:rPr>
                <w:noProof/>
                <w:webHidden/>
              </w:rPr>
              <w:fldChar w:fldCharType="begin"/>
            </w:r>
            <w:r>
              <w:rPr>
                <w:noProof/>
                <w:webHidden/>
              </w:rPr>
              <w:instrText xml:space="preserve"> PAGEREF _Toc210058166 \h </w:instrText>
            </w:r>
            <w:r>
              <w:rPr>
                <w:noProof/>
                <w:webHidden/>
              </w:rPr>
            </w:r>
            <w:r>
              <w:rPr>
                <w:noProof/>
                <w:webHidden/>
              </w:rPr>
              <w:fldChar w:fldCharType="separate"/>
            </w:r>
            <w:r w:rsidR="00F7526F">
              <w:rPr>
                <w:noProof/>
                <w:webHidden/>
              </w:rPr>
              <w:t>20</w:t>
            </w:r>
            <w:r>
              <w:rPr>
                <w:noProof/>
                <w:webHidden/>
              </w:rPr>
              <w:fldChar w:fldCharType="end"/>
            </w:r>
          </w:hyperlink>
        </w:p>
        <w:p w14:paraId="7A4BD19A" w14:textId="444B9C51" w:rsidR="00D16D85" w:rsidRDefault="00D16D85">
          <w:pPr>
            <w:pStyle w:val="Sumrio2"/>
            <w:tabs>
              <w:tab w:val="left" w:pos="960"/>
            </w:tabs>
            <w:rPr>
              <w:rFonts w:asciiTheme="minorHAnsi" w:eastAsiaTheme="minorEastAsia" w:hAnsiTheme="minorHAnsi"/>
              <w:noProof/>
              <w:kern w:val="2"/>
              <w:szCs w:val="24"/>
              <w:lang w:eastAsia="pt-BR"/>
              <w14:ligatures w14:val="standardContextual"/>
            </w:rPr>
          </w:pPr>
          <w:hyperlink w:anchor="_Toc210058167" w:history="1">
            <w:r w:rsidRPr="00BA6341">
              <w:rPr>
                <w:rStyle w:val="Hyperlink"/>
                <w:noProof/>
              </w:rPr>
              <w:t>3.1.4</w:t>
            </w:r>
            <w:r>
              <w:rPr>
                <w:rFonts w:asciiTheme="minorHAnsi" w:eastAsiaTheme="minorEastAsia" w:hAnsiTheme="minorHAnsi"/>
                <w:noProof/>
                <w:kern w:val="2"/>
                <w:szCs w:val="24"/>
                <w:lang w:eastAsia="pt-BR"/>
                <w14:ligatures w14:val="standardContextual"/>
              </w:rPr>
              <w:tab/>
            </w:r>
            <w:r w:rsidRPr="00BA6341">
              <w:rPr>
                <w:rStyle w:val="Hyperlink"/>
                <w:noProof/>
              </w:rPr>
              <w:t>SÍNTESE COMPARATIVA (QUADRO)</w:t>
            </w:r>
            <w:r>
              <w:rPr>
                <w:noProof/>
                <w:webHidden/>
              </w:rPr>
              <w:tab/>
            </w:r>
            <w:r>
              <w:rPr>
                <w:noProof/>
                <w:webHidden/>
              </w:rPr>
              <w:fldChar w:fldCharType="begin"/>
            </w:r>
            <w:r>
              <w:rPr>
                <w:noProof/>
                <w:webHidden/>
              </w:rPr>
              <w:instrText xml:space="preserve"> PAGEREF _Toc210058167 \h </w:instrText>
            </w:r>
            <w:r>
              <w:rPr>
                <w:noProof/>
                <w:webHidden/>
              </w:rPr>
            </w:r>
            <w:r>
              <w:rPr>
                <w:noProof/>
                <w:webHidden/>
              </w:rPr>
              <w:fldChar w:fldCharType="separate"/>
            </w:r>
            <w:r w:rsidR="00F7526F">
              <w:rPr>
                <w:noProof/>
                <w:webHidden/>
              </w:rPr>
              <w:t>20</w:t>
            </w:r>
            <w:r>
              <w:rPr>
                <w:noProof/>
                <w:webHidden/>
              </w:rPr>
              <w:fldChar w:fldCharType="end"/>
            </w:r>
          </w:hyperlink>
        </w:p>
        <w:p w14:paraId="49B50C3D" w14:textId="7E8A4423" w:rsidR="00D16D85" w:rsidRDefault="00D16D85">
          <w:pPr>
            <w:pStyle w:val="Sumrio2"/>
            <w:tabs>
              <w:tab w:val="left" w:pos="960"/>
            </w:tabs>
            <w:rPr>
              <w:rFonts w:asciiTheme="minorHAnsi" w:eastAsiaTheme="minorEastAsia" w:hAnsiTheme="minorHAnsi"/>
              <w:noProof/>
              <w:kern w:val="2"/>
              <w:szCs w:val="24"/>
              <w:lang w:eastAsia="pt-BR"/>
              <w14:ligatures w14:val="standardContextual"/>
            </w:rPr>
          </w:pPr>
          <w:hyperlink w:anchor="_Toc210058168" w:history="1">
            <w:r w:rsidRPr="00BA6341">
              <w:rPr>
                <w:rStyle w:val="Hyperlink"/>
                <w:noProof/>
              </w:rPr>
              <w:t>3.1.5</w:t>
            </w:r>
            <w:r>
              <w:rPr>
                <w:rFonts w:asciiTheme="minorHAnsi" w:eastAsiaTheme="minorEastAsia" w:hAnsiTheme="minorHAnsi"/>
                <w:noProof/>
                <w:kern w:val="2"/>
                <w:szCs w:val="24"/>
                <w:lang w:eastAsia="pt-BR"/>
                <w14:ligatures w14:val="standardContextual"/>
              </w:rPr>
              <w:tab/>
            </w:r>
            <w:r w:rsidRPr="00BA6341">
              <w:rPr>
                <w:rStyle w:val="Hyperlink"/>
                <w:noProof/>
              </w:rPr>
              <w:t>IMPLICAÇÕES METODOLÓGICAS E DE ESPECIFICAÇÃO</w:t>
            </w:r>
            <w:r>
              <w:rPr>
                <w:noProof/>
                <w:webHidden/>
              </w:rPr>
              <w:tab/>
            </w:r>
            <w:r>
              <w:rPr>
                <w:noProof/>
                <w:webHidden/>
              </w:rPr>
              <w:fldChar w:fldCharType="begin"/>
            </w:r>
            <w:r>
              <w:rPr>
                <w:noProof/>
                <w:webHidden/>
              </w:rPr>
              <w:instrText xml:space="preserve"> PAGEREF _Toc210058168 \h </w:instrText>
            </w:r>
            <w:r>
              <w:rPr>
                <w:noProof/>
                <w:webHidden/>
              </w:rPr>
            </w:r>
            <w:r>
              <w:rPr>
                <w:noProof/>
                <w:webHidden/>
              </w:rPr>
              <w:fldChar w:fldCharType="separate"/>
            </w:r>
            <w:r w:rsidR="00F7526F">
              <w:rPr>
                <w:noProof/>
                <w:webHidden/>
              </w:rPr>
              <w:t>21</w:t>
            </w:r>
            <w:r>
              <w:rPr>
                <w:noProof/>
                <w:webHidden/>
              </w:rPr>
              <w:fldChar w:fldCharType="end"/>
            </w:r>
          </w:hyperlink>
        </w:p>
        <w:p w14:paraId="41A34D69" w14:textId="52857F25" w:rsidR="00D16D85" w:rsidRDefault="00D16D85">
          <w:pPr>
            <w:pStyle w:val="Sumrio2"/>
            <w:rPr>
              <w:rFonts w:asciiTheme="minorHAnsi" w:eastAsiaTheme="minorEastAsia" w:hAnsiTheme="minorHAnsi"/>
              <w:noProof/>
              <w:kern w:val="2"/>
              <w:szCs w:val="24"/>
              <w:lang w:eastAsia="pt-BR"/>
              <w14:ligatures w14:val="standardContextual"/>
            </w:rPr>
          </w:pPr>
          <w:hyperlink w:anchor="_Toc210058169" w:history="1">
            <w:r w:rsidRPr="00BA6341">
              <w:rPr>
                <w:rStyle w:val="Hyperlink"/>
                <w:noProof/>
              </w:rPr>
              <w:t>3.2</w:t>
            </w:r>
            <w:r>
              <w:rPr>
                <w:rFonts w:asciiTheme="minorHAnsi" w:eastAsiaTheme="minorEastAsia" w:hAnsiTheme="minorHAnsi"/>
                <w:noProof/>
                <w:kern w:val="2"/>
                <w:szCs w:val="24"/>
                <w:lang w:eastAsia="pt-BR"/>
                <w14:ligatures w14:val="standardContextual"/>
              </w:rPr>
              <w:tab/>
            </w:r>
            <w:r w:rsidRPr="00BA6341">
              <w:rPr>
                <w:rStyle w:val="Hyperlink"/>
                <w:noProof/>
              </w:rPr>
              <w:t>APLICAÇÕES DE K-MEANS EM CONTEXTOS PRODUTIVOS</w:t>
            </w:r>
            <w:r>
              <w:rPr>
                <w:noProof/>
                <w:webHidden/>
              </w:rPr>
              <w:tab/>
            </w:r>
            <w:r>
              <w:rPr>
                <w:noProof/>
                <w:webHidden/>
              </w:rPr>
              <w:fldChar w:fldCharType="begin"/>
            </w:r>
            <w:r>
              <w:rPr>
                <w:noProof/>
                <w:webHidden/>
              </w:rPr>
              <w:instrText xml:space="preserve"> PAGEREF _Toc210058169 \h </w:instrText>
            </w:r>
            <w:r>
              <w:rPr>
                <w:noProof/>
                <w:webHidden/>
              </w:rPr>
            </w:r>
            <w:r>
              <w:rPr>
                <w:noProof/>
                <w:webHidden/>
              </w:rPr>
              <w:fldChar w:fldCharType="separate"/>
            </w:r>
            <w:r w:rsidR="00F7526F">
              <w:rPr>
                <w:noProof/>
                <w:webHidden/>
              </w:rPr>
              <w:t>23</w:t>
            </w:r>
            <w:r>
              <w:rPr>
                <w:noProof/>
                <w:webHidden/>
              </w:rPr>
              <w:fldChar w:fldCharType="end"/>
            </w:r>
          </w:hyperlink>
        </w:p>
        <w:p w14:paraId="30DD9966" w14:textId="4A5FF566" w:rsidR="00D16D85" w:rsidRDefault="00D16D85">
          <w:pPr>
            <w:pStyle w:val="Sumrio2"/>
            <w:rPr>
              <w:rFonts w:asciiTheme="minorHAnsi" w:eastAsiaTheme="minorEastAsia" w:hAnsiTheme="minorHAnsi"/>
              <w:noProof/>
              <w:kern w:val="2"/>
              <w:szCs w:val="24"/>
              <w:lang w:eastAsia="pt-BR"/>
              <w14:ligatures w14:val="standardContextual"/>
            </w:rPr>
          </w:pPr>
          <w:hyperlink w:anchor="_Toc210058170" w:history="1">
            <w:r w:rsidRPr="00BA6341">
              <w:rPr>
                <w:rStyle w:val="Hyperlink"/>
                <w:noProof/>
              </w:rPr>
              <w:t>3.3</w:t>
            </w:r>
            <w:r>
              <w:rPr>
                <w:rFonts w:asciiTheme="minorHAnsi" w:eastAsiaTheme="minorEastAsia" w:hAnsiTheme="minorHAnsi"/>
                <w:noProof/>
                <w:kern w:val="2"/>
                <w:szCs w:val="24"/>
                <w:lang w:eastAsia="pt-BR"/>
                <w14:ligatures w14:val="standardContextual"/>
              </w:rPr>
              <w:tab/>
            </w:r>
            <w:r w:rsidRPr="00BA6341">
              <w:rPr>
                <w:rStyle w:val="Hyperlink"/>
                <w:noProof/>
              </w:rPr>
              <w:t>PANORAMA DA LITERATURA SOBRE A ZFM</w:t>
            </w:r>
            <w:r>
              <w:rPr>
                <w:noProof/>
                <w:webHidden/>
              </w:rPr>
              <w:tab/>
            </w:r>
            <w:r>
              <w:rPr>
                <w:noProof/>
                <w:webHidden/>
              </w:rPr>
              <w:fldChar w:fldCharType="begin"/>
            </w:r>
            <w:r>
              <w:rPr>
                <w:noProof/>
                <w:webHidden/>
              </w:rPr>
              <w:instrText xml:space="preserve"> PAGEREF _Toc210058170 \h </w:instrText>
            </w:r>
            <w:r>
              <w:rPr>
                <w:noProof/>
                <w:webHidden/>
              </w:rPr>
            </w:r>
            <w:r>
              <w:rPr>
                <w:noProof/>
                <w:webHidden/>
              </w:rPr>
              <w:fldChar w:fldCharType="separate"/>
            </w:r>
            <w:r w:rsidR="00F7526F">
              <w:rPr>
                <w:noProof/>
                <w:webHidden/>
              </w:rPr>
              <w:t>25</w:t>
            </w:r>
            <w:r>
              <w:rPr>
                <w:noProof/>
                <w:webHidden/>
              </w:rPr>
              <w:fldChar w:fldCharType="end"/>
            </w:r>
          </w:hyperlink>
        </w:p>
        <w:p w14:paraId="4052B93E" w14:textId="2C1B9DCD" w:rsidR="00D16D85" w:rsidRDefault="00D16D85">
          <w:pPr>
            <w:pStyle w:val="Sumrio2"/>
            <w:rPr>
              <w:rFonts w:asciiTheme="minorHAnsi" w:eastAsiaTheme="minorEastAsia" w:hAnsiTheme="minorHAnsi"/>
              <w:noProof/>
              <w:kern w:val="2"/>
              <w:szCs w:val="24"/>
              <w:lang w:eastAsia="pt-BR"/>
              <w14:ligatures w14:val="standardContextual"/>
            </w:rPr>
          </w:pPr>
          <w:hyperlink w:anchor="_Toc210058171" w:history="1">
            <w:r w:rsidRPr="00BA6341">
              <w:rPr>
                <w:rStyle w:val="Hyperlink"/>
                <w:noProof/>
              </w:rPr>
              <w:t>3.4</w:t>
            </w:r>
            <w:r>
              <w:rPr>
                <w:rFonts w:asciiTheme="minorHAnsi" w:eastAsiaTheme="minorEastAsia" w:hAnsiTheme="minorHAnsi"/>
                <w:noProof/>
                <w:kern w:val="2"/>
                <w:szCs w:val="24"/>
                <w:lang w:eastAsia="pt-BR"/>
                <w14:ligatures w14:val="standardContextual"/>
              </w:rPr>
              <w:tab/>
            </w:r>
            <w:r w:rsidRPr="00BA6341">
              <w:rPr>
                <w:rStyle w:val="Hyperlink"/>
                <w:noProof/>
              </w:rPr>
              <w:t>IDENTIFICAÇÃO DAS LACUNAS E VALOR DA CONTRIBUIÇÃO</w:t>
            </w:r>
            <w:r>
              <w:rPr>
                <w:noProof/>
                <w:webHidden/>
              </w:rPr>
              <w:tab/>
            </w:r>
            <w:r>
              <w:rPr>
                <w:noProof/>
                <w:webHidden/>
              </w:rPr>
              <w:fldChar w:fldCharType="begin"/>
            </w:r>
            <w:r>
              <w:rPr>
                <w:noProof/>
                <w:webHidden/>
              </w:rPr>
              <w:instrText xml:space="preserve"> PAGEREF _Toc210058171 \h </w:instrText>
            </w:r>
            <w:r>
              <w:rPr>
                <w:noProof/>
                <w:webHidden/>
              </w:rPr>
            </w:r>
            <w:r>
              <w:rPr>
                <w:noProof/>
                <w:webHidden/>
              </w:rPr>
              <w:fldChar w:fldCharType="separate"/>
            </w:r>
            <w:r w:rsidR="00F7526F">
              <w:rPr>
                <w:noProof/>
                <w:webHidden/>
              </w:rPr>
              <w:t>27</w:t>
            </w:r>
            <w:r>
              <w:rPr>
                <w:noProof/>
                <w:webHidden/>
              </w:rPr>
              <w:fldChar w:fldCharType="end"/>
            </w:r>
          </w:hyperlink>
        </w:p>
        <w:p w14:paraId="40995B89" w14:textId="1755D313" w:rsidR="00D16D85" w:rsidRDefault="00D16D85">
          <w:pPr>
            <w:pStyle w:val="Sumrio1"/>
            <w:tabs>
              <w:tab w:val="left" w:pos="440"/>
              <w:tab w:val="right" w:leader="dot" w:pos="8494"/>
            </w:tabs>
            <w:rPr>
              <w:rFonts w:asciiTheme="minorHAnsi" w:eastAsiaTheme="minorEastAsia" w:hAnsiTheme="minorHAnsi"/>
              <w:noProof/>
              <w:kern w:val="2"/>
              <w:szCs w:val="24"/>
              <w:lang w:eastAsia="pt-BR"/>
              <w14:ligatures w14:val="standardContextual"/>
            </w:rPr>
          </w:pPr>
          <w:hyperlink w:anchor="_Toc210058172" w:history="1">
            <w:r w:rsidRPr="00BA6341">
              <w:rPr>
                <w:rStyle w:val="Hyperlink"/>
                <w:noProof/>
              </w:rPr>
              <w:t>4</w:t>
            </w:r>
            <w:r>
              <w:rPr>
                <w:rFonts w:asciiTheme="minorHAnsi" w:eastAsiaTheme="minorEastAsia" w:hAnsiTheme="minorHAnsi"/>
                <w:noProof/>
                <w:kern w:val="2"/>
                <w:szCs w:val="24"/>
                <w:lang w:eastAsia="pt-BR"/>
                <w14:ligatures w14:val="standardContextual"/>
              </w:rPr>
              <w:tab/>
            </w:r>
            <w:r w:rsidRPr="00BA6341">
              <w:rPr>
                <w:rStyle w:val="Hyperlink"/>
                <w:noProof/>
              </w:rPr>
              <w:t>METODOLOGIA</w:t>
            </w:r>
            <w:r>
              <w:rPr>
                <w:noProof/>
                <w:webHidden/>
              </w:rPr>
              <w:tab/>
            </w:r>
            <w:r>
              <w:rPr>
                <w:noProof/>
                <w:webHidden/>
              </w:rPr>
              <w:fldChar w:fldCharType="begin"/>
            </w:r>
            <w:r>
              <w:rPr>
                <w:noProof/>
                <w:webHidden/>
              </w:rPr>
              <w:instrText xml:space="preserve"> PAGEREF _Toc210058172 \h </w:instrText>
            </w:r>
            <w:r>
              <w:rPr>
                <w:noProof/>
                <w:webHidden/>
              </w:rPr>
            </w:r>
            <w:r>
              <w:rPr>
                <w:noProof/>
                <w:webHidden/>
              </w:rPr>
              <w:fldChar w:fldCharType="separate"/>
            </w:r>
            <w:r w:rsidR="00F7526F">
              <w:rPr>
                <w:noProof/>
                <w:webHidden/>
              </w:rPr>
              <w:t>29</w:t>
            </w:r>
            <w:r>
              <w:rPr>
                <w:noProof/>
                <w:webHidden/>
              </w:rPr>
              <w:fldChar w:fldCharType="end"/>
            </w:r>
          </w:hyperlink>
        </w:p>
        <w:p w14:paraId="565972B5" w14:textId="5ECC12B4" w:rsidR="00D16D85" w:rsidRDefault="00D16D85">
          <w:pPr>
            <w:pStyle w:val="Sumrio2"/>
            <w:rPr>
              <w:rFonts w:asciiTheme="minorHAnsi" w:eastAsiaTheme="minorEastAsia" w:hAnsiTheme="minorHAnsi"/>
              <w:noProof/>
              <w:kern w:val="2"/>
              <w:szCs w:val="24"/>
              <w:lang w:eastAsia="pt-BR"/>
              <w14:ligatures w14:val="standardContextual"/>
            </w:rPr>
          </w:pPr>
          <w:hyperlink w:anchor="_Toc210058173" w:history="1">
            <w:r w:rsidRPr="00BA6341">
              <w:rPr>
                <w:rStyle w:val="Hyperlink"/>
                <w:noProof/>
              </w:rPr>
              <w:t>4.1</w:t>
            </w:r>
            <w:r>
              <w:rPr>
                <w:rFonts w:asciiTheme="minorHAnsi" w:eastAsiaTheme="minorEastAsia" w:hAnsiTheme="minorHAnsi"/>
                <w:noProof/>
                <w:kern w:val="2"/>
                <w:szCs w:val="24"/>
                <w:lang w:eastAsia="pt-BR"/>
                <w14:ligatures w14:val="standardContextual"/>
              </w:rPr>
              <w:tab/>
            </w:r>
            <w:r w:rsidRPr="00BA6341">
              <w:rPr>
                <w:rStyle w:val="Hyperlink"/>
                <w:noProof/>
              </w:rPr>
              <w:t>TIPO E DELINEAMENTO DO ESTUDO</w:t>
            </w:r>
            <w:r>
              <w:rPr>
                <w:noProof/>
                <w:webHidden/>
              </w:rPr>
              <w:tab/>
            </w:r>
            <w:r>
              <w:rPr>
                <w:noProof/>
                <w:webHidden/>
              </w:rPr>
              <w:fldChar w:fldCharType="begin"/>
            </w:r>
            <w:r>
              <w:rPr>
                <w:noProof/>
                <w:webHidden/>
              </w:rPr>
              <w:instrText xml:space="preserve"> PAGEREF _Toc210058173 \h </w:instrText>
            </w:r>
            <w:r>
              <w:rPr>
                <w:noProof/>
                <w:webHidden/>
              </w:rPr>
            </w:r>
            <w:r>
              <w:rPr>
                <w:noProof/>
                <w:webHidden/>
              </w:rPr>
              <w:fldChar w:fldCharType="separate"/>
            </w:r>
            <w:r w:rsidR="00F7526F">
              <w:rPr>
                <w:noProof/>
                <w:webHidden/>
              </w:rPr>
              <w:t>29</w:t>
            </w:r>
            <w:r>
              <w:rPr>
                <w:noProof/>
                <w:webHidden/>
              </w:rPr>
              <w:fldChar w:fldCharType="end"/>
            </w:r>
          </w:hyperlink>
        </w:p>
        <w:p w14:paraId="40925EB9" w14:textId="6BDE5E81" w:rsidR="00D16D85" w:rsidRDefault="00D16D85">
          <w:pPr>
            <w:pStyle w:val="Sumrio2"/>
            <w:rPr>
              <w:rFonts w:asciiTheme="minorHAnsi" w:eastAsiaTheme="minorEastAsia" w:hAnsiTheme="minorHAnsi"/>
              <w:noProof/>
              <w:kern w:val="2"/>
              <w:szCs w:val="24"/>
              <w:lang w:eastAsia="pt-BR"/>
              <w14:ligatures w14:val="standardContextual"/>
            </w:rPr>
          </w:pPr>
          <w:hyperlink w:anchor="_Toc210058174" w:history="1">
            <w:r w:rsidRPr="00BA6341">
              <w:rPr>
                <w:rStyle w:val="Hyperlink"/>
                <w:noProof/>
              </w:rPr>
              <w:t>4.2</w:t>
            </w:r>
            <w:r>
              <w:rPr>
                <w:rFonts w:asciiTheme="minorHAnsi" w:eastAsiaTheme="minorEastAsia" w:hAnsiTheme="minorHAnsi"/>
                <w:noProof/>
                <w:kern w:val="2"/>
                <w:szCs w:val="24"/>
                <w:lang w:eastAsia="pt-BR"/>
                <w14:ligatures w14:val="standardContextual"/>
              </w:rPr>
              <w:tab/>
            </w:r>
            <w:r w:rsidRPr="00BA6341">
              <w:rPr>
                <w:rStyle w:val="Hyperlink"/>
                <w:noProof/>
              </w:rPr>
              <w:t>FONTES, PERÍODO E CRITÉRIOS DE INCLUSÃO</w:t>
            </w:r>
            <w:r>
              <w:rPr>
                <w:noProof/>
                <w:webHidden/>
              </w:rPr>
              <w:tab/>
            </w:r>
            <w:r>
              <w:rPr>
                <w:noProof/>
                <w:webHidden/>
              </w:rPr>
              <w:fldChar w:fldCharType="begin"/>
            </w:r>
            <w:r>
              <w:rPr>
                <w:noProof/>
                <w:webHidden/>
              </w:rPr>
              <w:instrText xml:space="preserve"> PAGEREF _Toc210058174 \h </w:instrText>
            </w:r>
            <w:r>
              <w:rPr>
                <w:noProof/>
                <w:webHidden/>
              </w:rPr>
            </w:r>
            <w:r>
              <w:rPr>
                <w:noProof/>
                <w:webHidden/>
              </w:rPr>
              <w:fldChar w:fldCharType="separate"/>
            </w:r>
            <w:r w:rsidR="00F7526F">
              <w:rPr>
                <w:noProof/>
                <w:webHidden/>
              </w:rPr>
              <w:t>31</w:t>
            </w:r>
            <w:r>
              <w:rPr>
                <w:noProof/>
                <w:webHidden/>
              </w:rPr>
              <w:fldChar w:fldCharType="end"/>
            </w:r>
          </w:hyperlink>
        </w:p>
        <w:p w14:paraId="4A48B84C" w14:textId="3C6526A8" w:rsidR="00D16D85" w:rsidRDefault="00D16D85">
          <w:pPr>
            <w:pStyle w:val="Sumrio2"/>
            <w:rPr>
              <w:rFonts w:asciiTheme="minorHAnsi" w:eastAsiaTheme="minorEastAsia" w:hAnsiTheme="minorHAnsi"/>
              <w:noProof/>
              <w:kern w:val="2"/>
              <w:szCs w:val="24"/>
              <w:lang w:eastAsia="pt-BR"/>
              <w14:ligatures w14:val="standardContextual"/>
            </w:rPr>
          </w:pPr>
          <w:hyperlink w:anchor="_Toc210058175" w:history="1">
            <w:r w:rsidRPr="00BA6341">
              <w:rPr>
                <w:rStyle w:val="Hyperlink"/>
                <w:noProof/>
              </w:rPr>
              <w:t>4.3</w:t>
            </w:r>
            <w:r>
              <w:rPr>
                <w:rFonts w:asciiTheme="minorHAnsi" w:eastAsiaTheme="minorEastAsia" w:hAnsiTheme="minorHAnsi"/>
                <w:noProof/>
                <w:kern w:val="2"/>
                <w:szCs w:val="24"/>
                <w:lang w:eastAsia="pt-BR"/>
                <w14:ligatures w14:val="standardContextual"/>
              </w:rPr>
              <w:tab/>
            </w:r>
            <w:r w:rsidRPr="00BA6341">
              <w:rPr>
                <w:rStyle w:val="Hyperlink"/>
                <w:noProof/>
              </w:rPr>
              <w:t>CONSTRUÇÃO E TRATAMENTO DE VARIÁVEIS</w:t>
            </w:r>
            <w:r>
              <w:rPr>
                <w:noProof/>
                <w:webHidden/>
              </w:rPr>
              <w:tab/>
            </w:r>
            <w:r>
              <w:rPr>
                <w:noProof/>
                <w:webHidden/>
              </w:rPr>
              <w:fldChar w:fldCharType="begin"/>
            </w:r>
            <w:r>
              <w:rPr>
                <w:noProof/>
                <w:webHidden/>
              </w:rPr>
              <w:instrText xml:space="preserve"> PAGEREF _Toc210058175 \h </w:instrText>
            </w:r>
            <w:r>
              <w:rPr>
                <w:noProof/>
                <w:webHidden/>
              </w:rPr>
            </w:r>
            <w:r>
              <w:rPr>
                <w:noProof/>
                <w:webHidden/>
              </w:rPr>
              <w:fldChar w:fldCharType="separate"/>
            </w:r>
            <w:r w:rsidR="00F7526F">
              <w:rPr>
                <w:noProof/>
                <w:webHidden/>
              </w:rPr>
              <w:t>32</w:t>
            </w:r>
            <w:r>
              <w:rPr>
                <w:noProof/>
                <w:webHidden/>
              </w:rPr>
              <w:fldChar w:fldCharType="end"/>
            </w:r>
          </w:hyperlink>
        </w:p>
        <w:p w14:paraId="62D31453" w14:textId="0F63E04D" w:rsidR="00D16D85" w:rsidRDefault="00D16D85">
          <w:pPr>
            <w:pStyle w:val="Sumrio2"/>
            <w:rPr>
              <w:rFonts w:asciiTheme="minorHAnsi" w:eastAsiaTheme="minorEastAsia" w:hAnsiTheme="minorHAnsi"/>
              <w:noProof/>
              <w:kern w:val="2"/>
              <w:szCs w:val="24"/>
              <w:lang w:eastAsia="pt-BR"/>
              <w14:ligatures w14:val="standardContextual"/>
            </w:rPr>
          </w:pPr>
          <w:hyperlink w:anchor="_Toc210058176" w:history="1">
            <w:r w:rsidRPr="00BA6341">
              <w:rPr>
                <w:rStyle w:val="Hyperlink"/>
                <w:noProof/>
              </w:rPr>
              <w:t>4.4</w:t>
            </w:r>
            <w:r>
              <w:rPr>
                <w:rFonts w:asciiTheme="minorHAnsi" w:eastAsiaTheme="minorEastAsia" w:hAnsiTheme="minorHAnsi"/>
                <w:noProof/>
                <w:kern w:val="2"/>
                <w:szCs w:val="24"/>
                <w:lang w:eastAsia="pt-BR"/>
                <w14:ligatures w14:val="standardContextual"/>
              </w:rPr>
              <w:tab/>
            </w:r>
            <w:r w:rsidRPr="00BA6341">
              <w:rPr>
                <w:rStyle w:val="Hyperlink"/>
                <w:noProof/>
              </w:rPr>
              <w:t xml:space="preserve">CLUSTERIZAÇÃO (K-MEANS): ESPECIFICAÇÃO, ESCOLHA DE </w:t>
            </w:r>
            <m:oMath>
              <m:r>
                <m:rPr>
                  <m:scr m:val="script"/>
                </m:rPr>
                <w:rPr>
                  <w:rStyle w:val="Hyperlink"/>
                  <w:rFonts w:ascii="Cambria Math" w:hAnsi="Cambria Math"/>
                  <w:noProof/>
                </w:rPr>
                <m:t>K</m:t>
              </m:r>
            </m:oMath>
            <w:r w:rsidRPr="00BA6341">
              <w:rPr>
                <w:rStyle w:val="Hyperlink"/>
                <w:noProof/>
              </w:rPr>
              <w:t xml:space="preserve"> E ESTABILIDADE</w:t>
            </w:r>
            <w:r>
              <w:rPr>
                <w:noProof/>
                <w:webHidden/>
              </w:rPr>
              <w:tab/>
            </w:r>
            <w:r>
              <w:rPr>
                <w:noProof/>
                <w:webHidden/>
              </w:rPr>
              <w:fldChar w:fldCharType="begin"/>
            </w:r>
            <w:r>
              <w:rPr>
                <w:noProof/>
                <w:webHidden/>
              </w:rPr>
              <w:instrText xml:space="preserve"> PAGEREF _Toc210058176 \h </w:instrText>
            </w:r>
            <w:r>
              <w:rPr>
                <w:noProof/>
                <w:webHidden/>
              </w:rPr>
            </w:r>
            <w:r>
              <w:rPr>
                <w:noProof/>
                <w:webHidden/>
              </w:rPr>
              <w:fldChar w:fldCharType="separate"/>
            </w:r>
            <w:r w:rsidR="00F7526F">
              <w:rPr>
                <w:noProof/>
                <w:webHidden/>
              </w:rPr>
              <w:t>34</w:t>
            </w:r>
            <w:r>
              <w:rPr>
                <w:noProof/>
                <w:webHidden/>
              </w:rPr>
              <w:fldChar w:fldCharType="end"/>
            </w:r>
          </w:hyperlink>
        </w:p>
        <w:p w14:paraId="56BF9063" w14:textId="7BD98C90" w:rsidR="00D16D85" w:rsidRDefault="00D16D85">
          <w:pPr>
            <w:pStyle w:val="Sumrio2"/>
            <w:rPr>
              <w:rFonts w:asciiTheme="minorHAnsi" w:eastAsiaTheme="minorEastAsia" w:hAnsiTheme="minorHAnsi"/>
              <w:noProof/>
              <w:kern w:val="2"/>
              <w:szCs w:val="24"/>
              <w:lang w:eastAsia="pt-BR"/>
              <w14:ligatures w14:val="standardContextual"/>
            </w:rPr>
          </w:pPr>
          <w:hyperlink w:anchor="_Toc210058177" w:history="1">
            <w:r w:rsidRPr="00BA6341">
              <w:rPr>
                <w:rStyle w:val="Hyperlink"/>
                <w:noProof/>
              </w:rPr>
              <w:t>4.5</w:t>
            </w:r>
            <w:r>
              <w:rPr>
                <w:rFonts w:asciiTheme="minorHAnsi" w:eastAsiaTheme="minorEastAsia" w:hAnsiTheme="minorHAnsi"/>
                <w:noProof/>
                <w:kern w:val="2"/>
                <w:szCs w:val="24"/>
                <w:lang w:eastAsia="pt-BR"/>
                <w14:ligatures w14:val="standardContextual"/>
              </w:rPr>
              <w:tab/>
            </w:r>
            <w:r w:rsidRPr="00BA6341">
              <w:rPr>
                <w:rStyle w:val="Hyperlink"/>
                <w:noProof/>
              </w:rPr>
              <w:t>ANÁLISE ENVOLTÓRIA DE DADOS (DEA): ESPECIFICAÇÃO DO MODELO</w:t>
            </w:r>
            <w:r>
              <w:rPr>
                <w:noProof/>
                <w:webHidden/>
              </w:rPr>
              <w:tab/>
            </w:r>
            <w:r>
              <w:rPr>
                <w:noProof/>
                <w:webHidden/>
              </w:rPr>
              <w:fldChar w:fldCharType="begin"/>
            </w:r>
            <w:r>
              <w:rPr>
                <w:noProof/>
                <w:webHidden/>
              </w:rPr>
              <w:instrText xml:space="preserve"> PAGEREF _Toc210058177 \h </w:instrText>
            </w:r>
            <w:r>
              <w:rPr>
                <w:noProof/>
                <w:webHidden/>
              </w:rPr>
            </w:r>
            <w:r>
              <w:rPr>
                <w:noProof/>
                <w:webHidden/>
              </w:rPr>
              <w:fldChar w:fldCharType="separate"/>
            </w:r>
            <w:r w:rsidR="00F7526F">
              <w:rPr>
                <w:noProof/>
                <w:webHidden/>
              </w:rPr>
              <w:t>36</w:t>
            </w:r>
            <w:r>
              <w:rPr>
                <w:noProof/>
                <w:webHidden/>
              </w:rPr>
              <w:fldChar w:fldCharType="end"/>
            </w:r>
          </w:hyperlink>
        </w:p>
        <w:p w14:paraId="0E1316CF" w14:textId="63219452" w:rsidR="00D16D85" w:rsidRDefault="00D16D85">
          <w:pPr>
            <w:pStyle w:val="Sumrio2"/>
            <w:rPr>
              <w:rFonts w:asciiTheme="minorHAnsi" w:eastAsiaTheme="minorEastAsia" w:hAnsiTheme="minorHAnsi"/>
              <w:noProof/>
              <w:kern w:val="2"/>
              <w:szCs w:val="24"/>
              <w:lang w:eastAsia="pt-BR"/>
              <w14:ligatures w14:val="standardContextual"/>
            </w:rPr>
          </w:pPr>
          <w:hyperlink w:anchor="_Toc210058178" w:history="1">
            <w:r w:rsidRPr="00BA6341">
              <w:rPr>
                <w:rStyle w:val="Hyperlink"/>
                <w:noProof/>
              </w:rPr>
              <w:t>4.6</w:t>
            </w:r>
            <w:r>
              <w:rPr>
                <w:rFonts w:asciiTheme="minorHAnsi" w:eastAsiaTheme="minorEastAsia" w:hAnsiTheme="minorHAnsi"/>
                <w:noProof/>
                <w:kern w:val="2"/>
                <w:szCs w:val="24"/>
                <w:lang w:eastAsia="pt-BR"/>
                <w14:ligatures w14:val="standardContextual"/>
              </w:rPr>
              <w:tab/>
            </w:r>
            <w:r w:rsidRPr="00BA6341">
              <w:rPr>
                <w:rStyle w:val="Hyperlink"/>
                <w:noProof/>
              </w:rPr>
              <w:t>ÍNDICE DE MALMQUIST: DINÂMICA INTERTEMPORAL DA PRODUTIVIDADE</w:t>
            </w:r>
            <w:r>
              <w:rPr>
                <w:noProof/>
                <w:webHidden/>
              </w:rPr>
              <w:tab/>
            </w:r>
            <w:r>
              <w:rPr>
                <w:noProof/>
                <w:webHidden/>
              </w:rPr>
              <w:fldChar w:fldCharType="begin"/>
            </w:r>
            <w:r>
              <w:rPr>
                <w:noProof/>
                <w:webHidden/>
              </w:rPr>
              <w:instrText xml:space="preserve"> PAGEREF _Toc210058178 \h </w:instrText>
            </w:r>
            <w:r>
              <w:rPr>
                <w:noProof/>
                <w:webHidden/>
              </w:rPr>
            </w:r>
            <w:r>
              <w:rPr>
                <w:noProof/>
                <w:webHidden/>
              </w:rPr>
              <w:fldChar w:fldCharType="separate"/>
            </w:r>
            <w:r w:rsidR="00F7526F">
              <w:rPr>
                <w:noProof/>
                <w:webHidden/>
              </w:rPr>
              <w:t>38</w:t>
            </w:r>
            <w:r>
              <w:rPr>
                <w:noProof/>
                <w:webHidden/>
              </w:rPr>
              <w:fldChar w:fldCharType="end"/>
            </w:r>
          </w:hyperlink>
        </w:p>
        <w:p w14:paraId="0D5ECBCF" w14:textId="3E164F40" w:rsidR="00D16D85" w:rsidRDefault="00D16D85">
          <w:pPr>
            <w:pStyle w:val="Sumrio2"/>
            <w:rPr>
              <w:rFonts w:asciiTheme="minorHAnsi" w:eastAsiaTheme="minorEastAsia" w:hAnsiTheme="minorHAnsi"/>
              <w:noProof/>
              <w:kern w:val="2"/>
              <w:szCs w:val="24"/>
              <w:lang w:eastAsia="pt-BR"/>
              <w14:ligatures w14:val="standardContextual"/>
            </w:rPr>
          </w:pPr>
          <w:hyperlink w:anchor="_Toc210058179" w:history="1">
            <w:r w:rsidRPr="00BA6341">
              <w:rPr>
                <w:rStyle w:val="Hyperlink"/>
                <w:noProof/>
              </w:rPr>
              <w:t>4.7</w:t>
            </w:r>
            <w:r>
              <w:rPr>
                <w:rFonts w:asciiTheme="minorHAnsi" w:eastAsiaTheme="minorEastAsia" w:hAnsiTheme="minorHAnsi"/>
                <w:noProof/>
                <w:kern w:val="2"/>
                <w:szCs w:val="24"/>
                <w:lang w:eastAsia="pt-BR"/>
                <w14:ligatures w14:val="standardContextual"/>
              </w:rPr>
              <w:tab/>
            </w:r>
            <w:r w:rsidRPr="00BA6341">
              <w:rPr>
                <w:rStyle w:val="Hyperlink"/>
                <w:noProof/>
              </w:rPr>
              <w:t>METAFRONTEIRA E COMPARABILIDADE ENTRE CLUSTERS</w:t>
            </w:r>
            <w:r>
              <w:rPr>
                <w:noProof/>
                <w:webHidden/>
              </w:rPr>
              <w:tab/>
            </w:r>
            <w:r>
              <w:rPr>
                <w:noProof/>
                <w:webHidden/>
              </w:rPr>
              <w:fldChar w:fldCharType="begin"/>
            </w:r>
            <w:r>
              <w:rPr>
                <w:noProof/>
                <w:webHidden/>
              </w:rPr>
              <w:instrText xml:space="preserve"> PAGEREF _Toc210058179 \h </w:instrText>
            </w:r>
            <w:r>
              <w:rPr>
                <w:noProof/>
                <w:webHidden/>
              </w:rPr>
            </w:r>
            <w:r>
              <w:rPr>
                <w:noProof/>
                <w:webHidden/>
              </w:rPr>
              <w:fldChar w:fldCharType="separate"/>
            </w:r>
            <w:r w:rsidR="00F7526F">
              <w:rPr>
                <w:noProof/>
                <w:webHidden/>
              </w:rPr>
              <w:t>39</w:t>
            </w:r>
            <w:r>
              <w:rPr>
                <w:noProof/>
                <w:webHidden/>
              </w:rPr>
              <w:fldChar w:fldCharType="end"/>
            </w:r>
          </w:hyperlink>
        </w:p>
        <w:p w14:paraId="08BD780E" w14:textId="6EFCC1B9" w:rsidR="00D16D85" w:rsidRDefault="00D16D85">
          <w:pPr>
            <w:pStyle w:val="Sumrio2"/>
            <w:rPr>
              <w:rFonts w:asciiTheme="minorHAnsi" w:eastAsiaTheme="minorEastAsia" w:hAnsiTheme="minorHAnsi"/>
              <w:noProof/>
              <w:kern w:val="2"/>
              <w:szCs w:val="24"/>
              <w:lang w:eastAsia="pt-BR"/>
              <w14:ligatures w14:val="standardContextual"/>
            </w:rPr>
          </w:pPr>
          <w:hyperlink w:anchor="_Toc210058180" w:history="1">
            <w:r w:rsidRPr="00BA6341">
              <w:rPr>
                <w:rStyle w:val="Hyperlink"/>
                <w:noProof/>
              </w:rPr>
              <w:t>4.8</w:t>
            </w:r>
            <w:r>
              <w:rPr>
                <w:rFonts w:asciiTheme="minorHAnsi" w:eastAsiaTheme="minorEastAsia" w:hAnsiTheme="minorHAnsi"/>
                <w:noProof/>
                <w:kern w:val="2"/>
                <w:szCs w:val="24"/>
                <w:lang w:eastAsia="pt-BR"/>
                <w14:ligatures w14:val="standardContextual"/>
              </w:rPr>
              <w:tab/>
            </w:r>
            <w:r w:rsidRPr="00BA6341">
              <w:rPr>
                <w:rStyle w:val="Hyperlink"/>
                <w:noProof/>
              </w:rPr>
              <w:t>SEGUNDA ETAPA DE INFERÊNCIA: DETERMINANTES DA EFICIÊNCIA</w:t>
            </w:r>
            <w:r>
              <w:rPr>
                <w:noProof/>
                <w:webHidden/>
              </w:rPr>
              <w:tab/>
            </w:r>
            <w:r>
              <w:rPr>
                <w:noProof/>
                <w:webHidden/>
              </w:rPr>
              <w:fldChar w:fldCharType="begin"/>
            </w:r>
            <w:r>
              <w:rPr>
                <w:noProof/>
                <w:webHidden/>
              </w:rPr>
              <w:instrText xml:space="preserve"> PAGEREF _Toc210058180 \h </w:instrText>
            </w:r>
            <w:r>
              <w:rPr>
                <w:noProof/>
                <w:webHidden/>
              </w:rPr>
            </w:r>
            <w:r>
              <w:rPr>
                <w:noProof/>
                <w:webHidden/>
              </w:rPr>
              <w:fldChar w:fldCharType="separate"/>
            </w:r>
            <w:r w:rsidR="00F7526F">
              <w:rPr>
                <w:noProof/>
                <w:webHidden/>
              </w:rPr>
              <w:t>41</w:t>
            </w:r>
            <w:r>
              <w:rPr>
                <w:noProof/>
                <w:webHidden/>
              </w:rPr>
              <w:fldChar w:fldCharType="end"/>
            </w:r>
          </w:hyperlink>
        </w:p>
        <w:p w14:paraId="67B358DF" w14:textId="429348CA" w:rsidR="00D16D85" w:rsidRDefault="00D16D85">
          <w:pPr>
            <w:pStyle w:val="Sumrio2"/>
            <w:rPr>
              <w:rFonts w:asciiTheme="minorHAnsi" w:eastAsiaTheme="minorEastAsia" w:hAnsiTheme="minorHAnsi"/>
              <w:noProof/>
              <w:kern w:val="2"/>
              <w:szCs w:val="24"/>
              <w:lang w:eastAsia="pt-BR"/>
              <w14:ligatures w14:val="standardContextual"/>
            </w:rPr>
          </w:pPr>
          <w:hyperlink w:anchor="_Toc210058181" w:history="1">
            <w:r w:rsidRPr="00BA6341">
              <w:rPr>
                <w:rStyle w:val="Hyperlink"/>
                <w:noProof/>
              </w:rPr>
              <w:t>4.9</w:t>
            </w:r>
            <w:r>
              <w:rPr>
                <w:rFonts w:asciiTheme="minorHAnsi" w:eastAsiaTheme="minorEastAsia" w:hAnsiTheme="minorHAnsi"/>
                <w:noProof/>
                <w:kern w:val="2"/>
                <w:szCs w:val="24"/>
                <w:lang w:eastAsia="pt-BR"/>
                <w14:ligatures w14:val="standardContextual"/>
              </w:rPr>
              <w:tab/>
            </w:r>
            <w:r w:rsidRPr="00BA6341">
              <w:rPr>
                <w:rStyle w:val="Hyperlink"/>
                <w:noProof/>
              </w:rPr>
              <w:t>ROBUSTEZ, REPLICABILIDADE E SOFTWARE UTILIZADO</w:t>
            </w:r>
            <w:r>
              <w:rPr>
                <w:noProof/>
                <w:webHidden/>
              </w:rPr>
              <w:tab/>
            </w:r>
            <w:r>
              <w:rPr>
                <w:noProof/>
                <w:webHidden/>
              </w:rPr>
              <w:fldChar w:fldCharType="begin"/>
            </w:r>
            <w:r>
              <w:rPr>
                <w:noProof/>
                <w:webHidden/>
              </w:rPr>
              <w:instrText xml:space="preserve"> PAGEREF _Toc210058181 \h </w:instrText>
            </w:r>
            <w:r>
              <w:rPr>
                <w:noProof/>
                <w:webHidden/>
              </w:rPr>
            </w:r>
            <w:r>
              <w:rPr>
                <w:noProof/>
                <w:webHidden/>
              </w:rPr>
              <w:fldChar w:fldCharType="separate"/>
            </w:r>
            <w:r w:rsidR="00F7526F">
              <w:rPr>
                <w:noProof/>
                <w:webHidden/>
              </w:rPr>
              <w:t>42</w:t>
            </w:r>
            <w:r>
              <w:rPr>
                <w:noProof/>
                <w:webHidden/>
              </w:rPr>
              <w:fldChar w:fldCharType="end"/>
            </w:r>
          </w:hyperlink>
        </w:p>
        <w:p w14:paraId="66654E28" w14:textId="17CF4248" w:rsidR="00D16D85" w:rsidRDefault="00D16D85">
          <w:pPr>
            <w:pStyle w:val="Sumrio1"/>
            <w:tabs>
              <w:tab w:val="right" w:leader="dot" w:pos="8494"/>
            </w:tabs>
            <w:rPr>
              <w:rFonts w:asciiTheme="minorHAnsi" w:eastAsiaTheme="minorEastAsia" w:hAnsiTheme="minorHAnsi"/>
              <w:noProof/>
              <w:kern w:val="2"/>
              <w:szCs w:val="24"/>
              <w:lang w:eastAsia="pt-BR"/>
              <w14:ligatures w14:val="standardContextual"/>
            </w:rPr>
          </w:pPr>
          <w:hyperlink w:anchor="_Toc210058182" w:history="1">
            <w:r w:rsidRPr="00BA6341">
              <w:rPr>
                <w:rStyle w:val="Hyperlink"/>
                <w:noProof/>
              </w:rPr>
              <w:t>REFERÊNCIAS</w:t>
            </w:r>
            <w:r>
              <w:rPr>
                <w:noProof/>
                <w:webHidden/>
              </w:rPr>
              <w:tab/>
            </w:r>
            <w:r>
              <w:rPr>
                <w:noProof/>
                <w:webHidden/>
              </w:rPr>
              <w:fldChar w:fldCharType="begin"/>
            </w:r>
            <w:r>
              <w:rPr>
                <w:noProof/>
                <w:webHidden/>
              </w:rPr>
              <w:instrText xml:space="preserve"> PAGEREF _Toc210058182 \h </w:instrText>
            </w:r>
            <w:r>
              <w:rPr>
                <w:noProof/>
                <w:webHidden/>
              </w:rPr>
            </w:r>
            <w:r>
              <w:rPr>
                <w:noProof/>
                <w:webHidden/>
              </w:rPr>
              <w:fldChar w:fldCharType="separate"/>
            </w:r>
            <w:r w:rsidR="00F7526F">
              <w:rPr>
                <w:noProof/>
                <w:webHidden/>
              </w:rPr>
              <w:t>44</w:t>
            </w:r>
            <w:r>
              <w:rPr>
                <w:noProof/>
                <w:webHidden/>
              </w:rPr>
              <w:fldChar w:fldCharType="end"/>
            </w:r>
          </w:hyperlink>
        </w:p>
        <w:p w14:paraId="653CFBF9" w14:textId="57744AFE" w:rsidR="005C6ACD" w:rsidRDefault="005C6ACD">
          <w:r>
            <w:rPr>
              <w:b/>
              <w:bCs/>
            </w:rPr>
            <w:fldChar w:fldCharType="end"/>
          </w:r>
        </w:p>
      </w:sdtContent>
    </w:sdt>
    <w:p w14:paraId="1C139544" w14:textId="77777777" w:rsidR="001958D5" w:rsidRDefault="001958D5" w:rsidP="001A41A9">
      <w:pPr>
        <w:tabs>
          <w:tab w:val="left" w:pos="5630"/>
        </w:tabs>
        <w:spacing w:after="160" w:line="259" w:lineRule="auto"/>
        <w:jc w:val="left"/>
        <w:rPr>
          <w:rFonts w:eastAsiaTheme="majorEastAsia" w:cstheme="majorBidi"/>
          <w:b/>
          <w:caps/>
          <w:szCs w:val="32"/>
        </w:rPr>
      </w:pPr>
    </w:p>
    <w:p w14:paraId="5FA78F2C" w14:textId="77777777" w:rsidR="00154D71" w:rsidRDefault="00154D71" w:rsidP="001A41A9">
      <w:pPr>
        <w:tabs>
          <w:tab w:val="left" w:pos="5630"/>
        </w:tabs>
        <w:spacing w:after="160" w:line="259" w:lineRule="auto"/>
        <w:jc w:val="left"/>
        <w:rPr>
          <w:rFonts w:eastAsiaTheme="majorEastAsia" w:cstheme="majorBidi"/>
          <w:b/>
          <w:caps/>
          <w:szCs w:val="32"/>
        </w:rPr>
      </w:pPr>
    </w:p>
    <w:p w14:paraId="70E756DA" w14:textId="77777777" w:rsidR="00D16D85" w:rsidRDefault="00D16D85" w:rsidP="001A41A9">
      <w:pPr>
        <w:tabs>
          <w:tab w:val="left" w:pos="5630"/>
        </w:tabs>
        <w:spacing w:after="160" w:line="259" w:lineRule="auto"/>
        <w:jc w:val="left"/>
        <w:rPr>
          <w:rFonts w:eastAsiaTheme="majorEastAsia" w:cstheme="majorBidi"/>
          <w:b/>
          <w:caps/>
          <w:szCs w:val="32"/>
        </w:rPr>
      </w:pPr>
    </w:p>
    <w:p w14:paraId="1D54A671" w14:textId="77777777" w:rsidR="00D16D85" w:rsidRDefault="00D16D85" w:rsidP="001A41A9">
      <w:pPr>
        <w:tabs>
          <w:tab w:val="left" w:pos="5630"/>
        </w:tabs>
        <w:spacing w:after="160" w:line="259" w:lineRule="auto"/>
        <w:jc w:val="left"/>
        <w:rPr>
          <w:rFonts w:eastAsiaTheme="majorEastAsia" w:cstheme="majorBidi"/>
          <w:b/>
          <w:caps/>
          <w:szCs w:val="32"/>
        </w:rPr>
      </w:pPr>
    </w:p>
    <w:p w14:paraId="3C5F6C6C" w14:textId="77777777" w:rsidR="00D16D85" w:rsidRDefault="00D16D85" w:rsidP="001A41A9">
      <w:pPr>
        <w:tabs>
          <w:tab w:val="left" w:pos="5630"/>
        </w:tabs>
        <w:spacing w:after="160" w:line="259" w:lineRule="auto"/>
        <w:jc w:val="left"/>
        <w:rPr>
          <w:rFonts w:eastAsiaTheme="majorEastAsia" w:cstheme="majorBidi"/>
          <w:b/>
          <w:caps/>
          <w:szCs w:val="32"/>
        </w:rPr>
      </w:pPr>
    </w:p>
    <w:p w14:paraId="2E74DFC9" w14:textId="77777777" w:rsidR="00D16D85" w:rsidRDefault="00D16D85" w:rsidP="001A41A9">
      <w:pPr>
        <w:tabs>
          <w:tab w:val="left" w:pos="5630"/>
        </w:tabs>
        <w:spacing w:after="160" w:line="259" w:lineRule="auto"/>
        <w:jc w:val="left"/>
        <w:rPr>
          <w:rFonts w:eastAsiaTheme="majorEastAsia" w:cstheme="majorBidi"/>
          <w:b/>
          <w:caps/>
          <w:szCs w:val="32"/>
        </w:rPr>
      </w:pPr>
    </w:p>
    <w:p w14:paraId="7E61B431" w14:textId="77777777" w:rsidR="00D16D85" w:rsidRDefault="00D16D85" w:rsidP="001A41A9">
      <w:pPr>
        <w:tabs>
          <w:tab w:val="left" w:pos="5630"/>
        </w:tabs>
        <w:spacing w:after="160" w:line="259" w:lineRule="auto"/>
        <w:jc w:val="left"/>
        <w:rPr>
          <w:rFonts w:eastAsiaTheme="majorEastAsia" w:cstheme="majorBidi"/>
          <w:b/>
          <w:caps/>
          <w:szCs w:val="32"/>
        </w:rPr>
      </w:pPr>
    </w:p>
    <w:p w14:paraId="2109ADDE" w14:textId="77777777" w:rsidR="00D16D85" w:rsidRDefault="00D16D85" w:rsidP="001A41A9">
      <w:pPr>
        <w:tabs>
          <w:tab w:val="left" w:pos="5630"/>
        </w:tabs>
        <w:spacing w:after="160" w:line="259" w:lineRule="auto"/>
        <w:jc w:val="left"/>
        <w:rPr>
          <w:rFonts w:eastAsiaTheme="majorEastAsia" w:cstheme="majorBidi"/>
          <w:b/>
          <w:caps/>
          <w:szCs w:val="32"/>
        </w:rPr>
      </w:pPr>
    </w:p>
    <w:p w14:paraId="79E2FC62" w14:textId="77777777" w:rsidR="00D16D85" w:rsidRDefault="00D16D85" w:rsidP="001A41A9">
      <w:pPr>
        <w:tabs>
          <w:tab w:val="left" w:pos="5630"/>
        </w:tabs>
        <w:spacing w:after="160" w:line="259" w:lineRule="auto"/>
        <w:jc w:val="left"/>
        <w:rPr>
          <w:rFonts w:eastAsiaTheme="majorEastAsia" w:cstheme="majorBidi"/>
          <w:b/>
          <w:caps/>
          <w:szCs w:val="32"/>
        </w:rPr>
      </w:pPr>
    </w:p>
    <w:p w14:paraId="5AA08935" w14:textId="77777777" w:rsidR="00D16D85" w:rsidRDefault="00D16D85" w:rsidP="001A41A9">
      <w:pPr>
        <w:tabs>
          <w:tab w:val="left" w:pos="5630"/>
        </w:tabs>
        <w:spacing w:after="160" w:line="259" w:lineRule="auto"/>
        <w:jc w:val="left"/>
        <w:rPr>
          <w:rFonts w:eastAsiaTheme="majorEastAsia" w:cstheme="majorBidi"/>
          <w:b/>
          <w:caps/>
          <w:szCs w:val="32"/>
        </w:rPr>
      </w:pPr>
    </w:p>
    <w:p w14:paraId="6C32D76A" w14:textId="77777777" w:rsidR="00D16D85" w:rsidRDefault="00D16D85" w:rsidP="001A41A9">
      <w:pPr>
        <w:tabs>
          <w:tab w:val="left" w:pos="5630"/>
        </w:tabs>
        <w:spacing w:after="160" w:line="259" w:lineRule="auto"/>
        <w:jc w:val="left"/>
        <w:rPr>
          <w:rFonts w:eastAsiaTheme="majorEastAsia" w:cstheme="majorBidi"/>
          <w:b/>
          <w:caps/>
          <w:szCs w:val="32"/>
        </w:rPr>
      </w:pPr>
    </w:p>
    <w:p w14:paraId="211200BC" w14:textId="77777777" w:rsidR="00D16D85" w:rsidRDefault="00D16D85" w:rsidP="001A41A9">
      <w:pPr>
        <w:tabs>
          <w:tab w:val="left" w:pos="5630"/>
        </w:tabs>
        <w:spacing w:after="160" w:line="259" w:lineRule="auto"/>
        <w:jc w:val="left"/>
        <w:rPr>
          <w:rFonts w:eastAsiaTheme="majorEastAsia" w:cstheme="majorBidi"/>
          <w:b/>
          <w:caps/>
          <w:szCs w:val="32"/>
        </w:rPr>
      </w:pPr>
    </w:p>
    <w:p w14:paraId="4E41DDF1" w14:textId="77777777" w:rsidR="00D16D85" w:rsidRDefault="00D16D85" w:rsidP="001A41A9">
      <w:pPr>
        <w:tabs>
          <w:tab w:val="left" w:pos="5630"/>
        </w:tabs>
        <w:spacing w:after="160" w:line="259" w:lineRule="auto"/>
        <w:jc w:val="left"/>
        <w:rPr>
          <w:rFonts w:eastAsiaTheme="majorEastAsia" w:cstheme="majorBidi"/>
          <w:b/>
          <w:caps/>
          <w:szCs w:val="32"/>
        </w:rPr>
      </w:pPr>
    </w:p>
    <w:p w14:paraId="369440CF" w14:textId="77777777" w:rsidR="00D16D85" w:rsidRDefault="00D16D85" w:rsidP="001A41A9">
      <w:pPr>
        <w:tabs>
          <w:tab w:val="left" w:pos="5630"/>
        </w:tabs>
        <w:spacing w:after="160" w:line="259" w:lineRule="auto"/>
        <w:jc w:val="left"/>
        <w:rPr>
          <w:rFonts w:eastAsiaTheme="majorEastAsia" w:cstheme="majorBidi"/>
          <w:b/>
          <w:caps/>
          <w:szCs w:val="32"/>
        </w:rPr>
      </w:pPr>
    </w:p>
    <w:p w14:paraId="0AEC923D" w14:textId="77777777" w:rsidR="00D16D85" w:rsidRDefault="00D16D85" w:rsidP="001A41A9">
      <w:pPr>
        <w:tabs>
          <w:tab w:val="left" w:pos="5630"/>
        </w:tabs>
        <w:spacing w:after="160" w:line="259" w:lineRule="auto"/>
        <w:jc w:val="left"/>
        <w:rPr>
          <w:rFonts w:eastAsiaTheme="majorEastAsia" w:cstheme="majorBidi"/>
          <w:b/>
          <w:caps/>
          <w:szCs w:val="32"/>
        </w:rPr>
      </w:pPr>
    </w:p>
    <w:p w14:paraId="7396F7E6" w14:textId="77777777" w:rsidR="00D16D85" w:rsidRDefault="00D16D85" w:rsidP="001A41A9">
      <w:pPr>
        <w:tabs>
          <w:tab w:val="left" w:pos="5630"/>
        </w:tabs>
        <w:spacing w:after="160" w:line="259" w:lineRule="auto"/>
        <w:jc w:val="left"/>
        <w:rPr>
          <w:rFonts w:eastAsiaTheme="majorEastAsia" w:cstheme="majorBidi"/>
          <w:b/>
          <w:caps/>
          <w:szCs w:val="32"/>
        </w:rPr>
      </w:pPr>
    </w:p>
    <w:p w14:paraId="0584F332" w14:textId="77777777" w:rsidR="00D16D85" w:rsidRDefault="00D16D85" w:rsidP="001A41A9">
      <w:pPr>
        <w:tabs>
          <w:tab w:val="left" w:pos="5630"/>
        </w:tabs>
        <w:spacing w:after="160" w:line="259" w:lineRule="auto"/>
        <w:jc w:val="left"/>
        <w:rPr>
          <w:rFonts w:eastAsiaTheme="majorEastAsia" w:cstheme="majorBidi"/>
          <w:b/>
          <w:caps/>
          <w:szCs w:val="32"/>
        </w:rPr>
      </w:pPr>
    </w:p>
    <w:p w14:paraId="2B093E15" w14:textId="77777777" w:rsidR="008C197F" w:rsidRDefault="008C197F" w:rsidP="001A41A9">
      <w:pPr>
        <w:tabs>
          <w:tab w:val="left" w:pos="5630"/>
        </w:tabs>
        <w:spacing w:after="160" w:line="259" w:lineRule="auto"/>
        <w:jc w:val="left"/>
        <w:rPr>
          <w:rFonts w:eastAsiaTheme="majorEastAsia" w:cstheme="majorBidi"/>
          <w:b/>
          <w:caps/>
          <w:szCs w:val="32"/>
        </w:rPr>
      </w:pPr>
    </w:p>
    <w:p w14:paraId="05968B26" w14:textId="36522061" w:rsidR="008A286F" w:rsidRPr="00DD31DC" w:rsidRDefault="00E32617" w:rsidP="000E11C3">
      <w:pPr>
        <w:pStyle w:val="Ttulo1"/>
        <w:ind w:left="284" w:hanging="284"/>
      </w:pPr>
      <w:bookmarkStart w:id="1" w:name="_Toc210058155"/>
      <w:r w:rsidRPr="00DD31DC">
        <w:lastRenderedPageBreak/>
        <w:t>INTRODUÇÃO</w:t>
      </w:r>
      <w:bookmarkEnd w:id="1"/>
      <w:r w:rsidR="00865AC1">
        <w:br/>
      </w:r>
    </w:p>
    <w:p w14:paraId="44578934" w14:textId="28C3E017" w:rsidR="00880DCC" w:rsidRPr="00880DCC" w:rsidRDefault="00E119AF" w:rsidP="00304675">
      <w:pPr>
        <w:ind w:firstLine="708"/>
        <w:rPr>
          <w:color w:val="000000" w:themeColor="text1"/>
        </w:rPr>
      </w:pPr>
      <w:bookmarkStart w:id="2" w:name="_Toc119922505"/>
      <w:bookmarkEnd w:id="0"/>
      <w:r w:rsidRPr="00E119AF">
        <w:rPr>
          <w:color w:val="000000" w:themeColor="text1"/>
        </w:rPr>
        <w:t>Políticas industriais, como as zonas francas, são concebidas para o desenvolvimento regional por meio de incentivos fiscais, mas frequentemente acarretam custo fiscal elevado sem comprovação clara de retornos proporcionais (ASSUNÇÃO; HOLZ; SCHUTZE, 2020). A Zona Franca de Manaus (ZFM), criada pelo Decreto-Lei nº 288/1967</w:t>
      </w:r>
      <w:r w:rsidR="00020975" w:rsidRPr="00E119AF">
        <w:rPr>
          <w:color w:val="000000" w:themeColor="text1"/>
        </w:rPr>
        <w:t xml:space="preserve"> há mais de meio século</w:t>
      </w:r>
      <w:r w:rsidRPr="00E119AF">
        <w:rPr>
          <w:color w:val="000000" w:themeColor="text1"/>
        </w:rPr>
        <w:t>, é um exemplo emblemático</w:t>
      </w:r>
      <w:r w:rsidR="00020975">
        <w:rPr>
          <w:color w:val="000000" w:themeColor="text1"/>
        </w:rPr>
        <w:t>: s</w:t>
      </w:r>
      <w:r w:rsidRPr="00E119AF">
        <w:rPr>
          <w:color w:val="000000" w:themeColor="text1"/>
        </w:rPr>
        <w:t>ua principal vertente econômica, o Polo Industrial de Manaus (PIM), tem atraído centenas de empresas nacionais e multinacionais, impulsionado pela oferta substancial de benefícios fiscais como forma de compensar desvantagens logísticas e estruturais. E</w:t>
      </w:r>
      <w:r w:rsidR="00745ECB">
        <w:rPr>
          <w:color w:val="000000" w:themeColor="text1"/>
        </w:rPr>
        <w:t>ntre 2018 e 2023</w:t>
      </w:r>
      <w:r w:rsidRPr="00E119AF">
        <w:rPr>
          <w:color w:val="000000" w:themeColor="text1"/>
        </w:rPr>
        <w:t xml:space="preserve">, os incentivos somaram aproximadamente </w:t>
      </w:r>
      <w:r w:rsidR="00745ECB" w:rsidRPr="00745ECB">
        <w:rPr>
          <w:color w:val="000000" w:themeColor="text1"/>
        </w:rPr>
        <w:t>R$ 22 bilhões a R$ 27 bilhões por ano</w:t>
      </w:r>
      <w:r w:rsidRPr="00E119AF">
        <w:rPr>
          <w:color w:val="000000" w:themeColor="text1"/>
        </w:rPr>
        <w:t xml:space="preserve">, </w:t>
      </w:r>
      <w:r w:rsidR="00745ECB" w:rsidRPr="00745ECB">
        <w:rPr>
          <w:color w:val="000000" w:themeColor="text1"/>
        </w:rPr>
        <w:t>alcançando cerca de R$ 25 bilhões em 2023</w:t>
      </w:r>
      <w:r w:rsidR="00745ECB">
        <w:rPr>
          <w:color w:val="000000" w:themeColor="text1"/>
        </w:rPr>
        <w:t xml:space="preserve">. </w:t>
      </w:r>
      <w:r w:rsidR="00D07007">
        <w:rPr>
          <w:color w:val="000000" w:themeColor="text1"/>
        </w:rPr>
        <w:t>Isso equivale a</w:t>
      </w:r>
      <w:r w:rsidR="00745ECB">
        <w:rPr>
          <w:color w:val="000000" w:themeColor="text1"/>
        </w:rPr>
        <w:t xml:space="preserve"> </w:t>
      </w:r>
      <w:r w:rsidRPr="00E119AF">
        <w:rPr>
          <w:color w:val="000000" w:themeColor="text1"/>
        </w:rPr>
        <w:t>8,5% do total de gastos tributários federais e cerca de 0,4% do Produto Interno Bruto brasileiro (RECEITA FEDERAL, 202</w:t>
      </w:r>
      <w:r w:rsidR="00811DCC">
        <w:rPr>
          <w:color w:val="000000" w:themeColor="text1"/>
        </w:rPr>
        <w:t>3</w:t>
      </w:r>
      <w:r w:rsidRPr="00E119AF">
        <w:rPr>
          <w:color w:val="000000" w:themeColor="text1"/>
        </w:rPr>
        <w:t>; SUFRAMA, 202</w:t>
      </w:r>
      <w:r w:rsidR="00811DCC">
        <w:rPr>
          <w:color w:val="000000" w:themeColor="text1"/>
        </w:rPr>
        <w:t>3</w:t>
      </w:r>
      <w:r w:rsidRPr="00E119AF">
        <w:rPr>
          <w:color w:val="000000" w:themeColor="text1"/>
        </w:rPr>
        <w:t xml:space="preserve">). </w:t>
      </w:r>
      <w:r w:rsidR="002707CD" w:rsidRPr="002707CD">
        <w:rPr>
          <w:color w:val="000000" w:themeColor="text1"/>
        </w:rPr>
        <w:t>Embora rotulado como “zona franca”, cerca de 95 % do faturamento industrial de Manaus provém do mercado interno (SUFRAMA, 2023), refletindo antes uma política de substituição de importações do que um enclave exportador, reforçando seu caráter de desenvolvimento regional.</w:t>
      </w:r>
      <w:r w:rsidR="002707CD">
        <w:rPr>
          <w:color w:val="000000" w:themeColor="text1"/>
        </w:rPr>
        <w:t xml:space="preserve"> </w:t>
      </w:r>
      <w:r w:rsidRPr="00E119AF">
        <w:rPr>
          <w:color w:val="000000" w:themeColor="text1"/>
        </w:rPr>
        <w:t>Os impactos dessa política, porém, geram debates acalorados quanto à real eficácia econômica e social das renúncias fiscais concedidas, sobretudo após a Emenda Constitucional nº 83/2014, que estendeu esses benefícios até 2073, garantindo mais meio século de vigência ao modelo atual.</w:t>
      </w:r>
    </w:p>
    <w:p w14:paraId="63FF96FE" w14:textId="4EF51F52" w:rsidR="00304675" w:rsidRPr="00304675" w:rsidRDefault="00304675" w:rsidP="00304675">
      <w:pPr>
        <w:ind w:firstLine="708"/>
        <w:rPr>
          <w:color w:val="000000" w:themeColor="text1"/>
        </w:rPr>
      </w:pPr>
      <w:r w:rsidRPr="00304675">
        <w:rPr>
          <w:color w:val="000000" w:themeColor="text1"/>
        </w:rPr>
        <w:t xml:space="preserve">A literatura acadêmica e institucional diverge sobre a eficácia da ZFM como mecanismo indutor de crescimento econômico sustentável e desenvolvimento regional. Estudos favoráveis ao modelo apontam evidências </w:t>
      </w:r>
      <w:r w:rsidRPr="0063710C">
        <w:rPr>
          <w:color w:val="000000" w:themeColor="text1"/>
        </w:rPr>
        <w:t>de multiplicadores fiscais positivos,</w:t>
      </w:r>
      <w:r w:rsidRPr="00304675">
        <w:rPr>
          <w:color w:val="000000" w:themeColor="text1"/>
        </w:rPr>
        <w:t xml:space="preserve"> </w:t>
      </w:r>
      <w:r w:rsidRPr="0063710C">
        <w:rPr>
          <w:color w:val="000000" w:themeColor="text1"/>
        </w:rPr>
        <w:t xml:space="preserve">sugerindo que a atividade gerada pela ZFM retorna mais riqueza à economia local do que o montante de tributos abatidos. Cálculos recentes estimam que a cada R$ 1,00 de renúncia fiscal o PIB da região de Manaus cresça bem mais que R$ 1,00 em output, indicando retorno líquido positivo do programa (HOLLAND; MANSANO; CAMPOS, 2019). </w:t>
      </w:r>
      <w:r w:rsidR="00D07007" w:rsidRPr="0063710C">
        <w:rPr>
          <w:color w:val="000000" w:themeColor="text1"/>
        </w:rPr>
        <w:t>D</w:t>
      </w:r>
      <w:r w:rsidRPr="0063710C">
        <w:rPr>
          <w:color w:val="000000" w:themeColor="text1"/>
        </w:rPr>
        <w:t>estacam-se</w:t>
      </w:r>
      <w:r w:rsidR="00D07007" w:rsidRPr="0063710C">
        <w:rPr>
          <w:color w:val="000000" w:themeColor="text1"/>
        </w:rPr>
        <w:t xml:space="preserve"> ainda</w:t>
      </w:r>
      <w:r w:rsidRPr="0063710C">
        <w:rPr>
          <w:color w:val="000000" w:themeColor="text1"/>
        </w:rPr>
        <w:t xml:space="preserve"> efeitos ambientais</w:t>
      </w:r>
      <w:r w:rsidR="00D07007" w:rsidRPr="0063710C">
        <w:rPr>
          <w:color w:val="000000" w:themeColor="text1"/>
        </w:rPr>
        <w:t xml:space="preserve"> benéficos</w:t>
      </w:r>
      <w:r w:rsidRPr="0063710C">
        <w:rPr>
          <w:color w:val="000000" w:themeColor="text1"/>
        </w:rPr>
        <w:t xml:space="preserve">: </w:t>
      </w:r>
      <w:r w:rsidRPr="0063710C">
        <w:t>graças à geração de empregos urbanos no PIM, a ZFM é apontada como crucial para conter a expansão predatória sobre a floresta, contribuindo para que cerca de 97% da cobertura florestal do estado do Amazonas permaneça preservada. Tais resultados e argumentos sugerem que a ZFM poderia ser uma exceção bem-sucedida dentre as</w:t>
      </w:r>
      <w:r w:rsidRPr="00D07007">
        <w:t xml:space="preserve"> políticas de incentivo, servindo de modelo para o desenvolvimento regional</w:t>
      </w:r>
      <w:r w:rsidRPr="00304675">
        <w:rPr>
          <w:color w:val="000000" w:themeColor="text1"/>
        </w:rPr>
        <w:t xml:space="preserve"> (HOLLAND; MANSANO; CAMPOS, 2019).</w:t>
      </w:r>
    </w:p>
    <w:p w14:paraId="42E86D5F" w14:textId="3E428F4B" w:rsidR="00304675" w:rsidRPr="00A96983" w:rsidRDefault="00304675" w:rsidP="00D07007">
      <w:pPr>
        <w:ind w:firstLine="708"/>
        <w:rPr>
          <w:color w:val="000000" w:themeColor="text1"/>
        </w:rPr>
      </w:pPr>
      <w:r w:rsidRPr="00304675">
        <w:rPr>
          <w:color w:val="000000" w:themeColor="text1"/>
        </w:rPr>
        <w:lastRenderedPageBreak/>
        <w:t>Em contraste, análises críticas — inclusive de órgãos oficiais de controle e agências internacionais — pintam um quadro menos otimista. Relatórios do Tribunal de Contas da União (2022) e do Banco Mundial (2023</w:t>
      </w:r>
      <w:r w:rsidRPr="00A96983">
        <w:rPr>
          <w:color w:val="000000" w:themeColor="text1"/>
        </w:rPr>
        <w:t>) argumentam que os incentivos da ZFM têm fomentado apenas um crescimento econômico modesto, com baixo impacto sobre a produtividade industrial e o desenvolvimento social da região. No seu primeiro relatório econômico sobre a Amazônia brasileira, o Banco Mundial qualificou os benefícios tributários do modelo como “pouco eficientes”, concluindo que o</w:t>
      </w:r>
      <w:r w:rsidRPr="0063710C">
        <w:rPr>
          <w:color w:val="000000" w:themeColor="text1"/>
        </w:rPr>
        <w:t>s incentivos fiscais concedidos não ajudaram a estimular o crescimento da produtividade e devem ser reavaliados</w:t>
      </w:r>
      <w:r w:rsidR="00A603C8" w:rsidRPr="0063710C">
        <w:rPr>
          <w:color w:val="000000" w:themeColor="text1"/>
        </w:rPr>
        <w:t>.</w:t>
      </w:r>
      <w:r w:rsidRPr="0063710C">
        <w:rPr>
          <w:color w:val="000000" w:themeColor="text1"/>
        </w:rPr>
        <w:t xml:space="preserve"> De acordo com o estudo, apesar do alto custo fiscal da ZFM (aproximadamente 0,4% do PIB nacional</w:t>
      </w:r>
      <w:r w:rsidRPr="00304675">
        <w:rPr>
          <w:color w:val="000000" w:themeColor="text1"/>
        </w:rPr>
        <w:t xml:space="preserve">), o estado do Amazonas vem </w:t>
      </w:r>
      <w:r w:rsidRPr="0063710C">
        <w:rPr>
          <w:color w:val="000000" w:themeColor="text1"/>
        </w:rPr>
        <w:t>perdendo competitividade industrial,</w:t>
      </w:r>
      <w:r w:rsidRPr="00304675">
        <w:rPr>
          <w:color w:val="000000" w:themeColor="text1"/>
        </w:rPr>
        <w:t xml:space="preserve"> encontrando cada vez mais dificuldade para atrair novas empresas, enquanto o número de empregos na indústria </w:t>
      </w:r>
      <w:r w:rsidRPr="0063710C">
        <w:rPr>
          <w:color w:val="000000" w:themeColor="text1"/>
        </w:rPr>
        <w:t>diminui</w:t>
      </w:r>
      <w:r w:rsidRPr="00304675">
        <w:rPr>
          <w:color w:val="000000" w:themeColor="text1"/>
        </w:rPr>
        <w:t xml:space="preserve"> concomitantemente a um aumento da intensidade de capital (automação)</w:t>
      </w:r>
      <w:r w:rsidR="00A603C8">
        <w:rPr>
          <w:color w:val="000000" w:themeColor="text1"/>
        </w:rPr>
        <w:t>.</w:t>
      </w:r>
      <w:r w:rsidRPr="00304675">
        <w:rPr>
          <w:color w:val="000000" w:themeColor="text1"/>
        </w:rPr>
        <w:t xml:space="preserve"> Essas evidências sugerem que os benefícios regionais alardeados podem não estar se materializando na proporção esperada. Adicionalmente, uma análise independente do </w:t>
      </w:r>
      <w:proofErr w:type="spellStart"/>
      <w:r w:rsidRPr="00304675">
        <w:rPr>
          <w:color w:val="000000" w:themeColor="text1"/>
        </w:rPr>
        <w:t>Climate</w:t>
      </w:r>
      <w:proofErr w:type="spellEnd"/>
      <w:r w:rsidRPr="00304675">
        <w:rPr>
          <w:color w:val="000000" w:themeColor="text1"/>
        </w:rPr>
        <w:t xml:space="preserve"> </w:t>
      </w:r>
      <w:proofErr w:type="spellStart"/>
      <w:r w:rsidRPr="00304675">
        <w:rPr>
          <w:color w:val="000000" w:themeColor="text1"/>
        </w:rPr>
        <w:t>Policy</w:t>
      </w:r>
      <w:proofErr w:type="spellEnd"/>
      <w:r w:rsidRPr="00304675">
        <w:rPr>
          <w:color w:val="000000" w:themeColor="text1"/>
        </w:rPr>
        <w:t xml:space="preserve"> </w:t>
      </w:r>
      <w:proofErr w:type="spellStart"/>
      <w:r w:rsidRPr="00304675">
        <w:rPr>
          <w:color w:val="000000" w:themeColor="text1"/>
        </w:rPr>
        <w:t>Initiative</w:t>
      </w:r>
      <w:proofErr w:type="spellEnd"/>
      <w:r w:rsidRPr="00304675">
        <w:rPr>
          <w:color w:val="000000" w:themeColor="text1"/>
        </w:rPr>
        <w:t xml:space="preserve"> (CPI/PUC-Rio, 2023) não encontrou ganho</w:t>
      </w:r>
      <w:r w:rsidR="00BD2444">
        <w:rPr>
          <w:color w:val="000000" w:themeColor="text1"/>
        </w:rPr>
        <w:t>s</w:t>
      </w:r>
      <w:r w:rsidRPr="00304675">
        <w:rPr>
          <w:color w:val="000000" w:themeColor="text1"/>
        </w:rPr>
        <w:t xml:space="preserve"> </w:t>
      </w:r>
      <w:r w:rsidR="00F267C1">
        <w:rPr>
          <w:color w:val="000000" w:themeColor="text1"/>
        </w:rPr>
        <w:t xml:space="preserve">de </w:t>
      </w:r>
      <w:r w:rsidRPr="00304675">
        <w:rPr>
          <w:color w:val="000000" w:themeColor="text1"/>
        </w:rPr>
        <w:t xml:space="preserve">eficiência nos setores </w:t>
      </w:r>
      <w:r w:rsidR="00BD2444">
        <w:rPr>
          <w:color w:val="000000" w:themeColor="text1"/>
        </w:rPr>
        <w:t>mais</w:t>
      </w:r>
      <w:r w:rsidRPr="00304675">
        <w:rPr>
          <w:color w:val="000000" w:themeColor="text1"/>
        </w:rPr>
        <w:t xml:space="preserve"> subsidiados da ZFM </w:t>
      </w:r>
      <w:r w:rsidR="00BD2444" w:rsidRPr="00BD2444">
        <w:rPr>
          <w:color w:val="000000" w:themeColor="text1"/>
        </w:rPr>
        <w:t>frente a indústrias de outras regiões</w:t>
      </w:r>
      <w:r w:rsidRPr="00304675">
        <w:rPr>
          <w:color w:val="000000" w:themeColor="text1"/>
        </w:rPr>
        <w:t xml:space="preserve">. Por exemplo, Assunção, Holz e </w:t>
      </w:r>
      <w:proofErr w:type="spellStart"/>
      <w:r w:rsidRPr="00304675">
        <w:rPr>
          <w:color w:val="000000" w:themeColor="text1"/>
        </w:rPr>
        <w:t>Schutze</w:t>
      </w:r>
      <w:proofErr w:type="spellEnd"/>
      <w:r w:rsidRPr="00304675">
        <w:rPr>
          <w:color w:val="000000" w:themeColor="text1"/>
        </w:rPr>
        <w:t xml:space="preserve"> (2020) demonstram que os níveis </w:t>
      </w:r>
      <w:r w:rsidRPr="00A96983">
        <w:rPr>
          <w:color w:val="000000" w:themeColor="text1"/>
        </w:rPr>
        <w:t>de eficiência produtiva das indústrias incentivadas em Manaus foram semelhantes aos do restante do Brasil e permaneceram estáveis entre 2003 e 2015, indicando que os generosos subsídios não se traduziram em ganhos de produtividade locais superiores. Em suma, críticos questionam se a ZFM de fato promove desenvolvimento adicional ou se apenas realoca geograficamente atividades industriais de forma custosa, sem aumentar a produtividade ou o bem-estar socioeconômico regional de maneira robusta (TCU, 2022; BANCO MUNDIAL, 2023; CPI/PUC-Rio, 2023).</w:t>
      </w:r>
    </w:p>
    <w:p w14:paraId="69B89C77" w14:textId="77777777" w:rsidR="00304675" w:rsidRPr="00FB3683" w:rsidRDefault="00304675" w:rsidP="00304675">
      <w:pPr>
        <w:ind w:firstLine="708"/>
        <w:rPr>
          <w:color w:val="000000" w:themeColor="text1"/>
        </w:rPr>
      </w:pPr>
      <w:r w:rsidRPr="00A96983">
        <w:rPr>
          <w:color w:val="000000" w:themeColor="text1"/>
        </w:rPr>
        <w:t>Diante dessas visões contrastantes – de um lado, ineficiências e custos elevados; de outro, ganhos regionais e estratégicos –, o status da ZFM permanece</w:t>
      </w:r>
      <w:r w:rsidRPr="0063710C">
        <w:rPr>
          <w:color w:val="000000" w:themeColor="text1"/>
        </w:rPr>
        <w:t xml:space="preserve"> controverso. Esse contexto reforça a importância de avaliações imparciais, embasadas em dados, para aferir com rigor quão eficientemente os diferentes subsetores industriais do PIM convertem os subsídios fiscais em resultados. No entanto, grande parte dos estudos existentes tende a analisar o Polo Industrial de Manaus de forma agregada, negligenciando as especificidades produtivas e tecnológicas de cada segmento, o que pode levar a conclusões distorcidas. Abordar toda a indústria manauara como um bloco homogêneo </w:t>
      </w:r>
      <w:proofErr w:type="gramStart"/>
      <w:r w:rsidRPr="0063710C">
        <w:rPr>
          <w:color w:val="000000" w:themeColor="text1"/>
        </w:rPr>
        <w:t>mascara</w:t>
      </w:r>
      <w:proofErr w:type="gramEnd"/>
      <w:r w:rsidRPr="0063710C">
        <w:rPr>
          <w:color w:val="000000" w:themeColor="text1"/>
        </w:rPr>
        <w:t xml:space="preserve"> diferenças estruturais importantes (como nível de automação, intensidade de mão de obra e uso de insumos locais) e dificulta avaliações precisas dos efeitos dos</w:t>
      </w:r>
      <w:r w:rsidRPr="00304675">
        <w:rPr>
          <w:color w:val="000000" w:themeColor="text1"/>
        </w:rPr>
        <w:t xml:space="preserve"> </w:t>
      </w:r>
      <w:r w:rsidRPr="00304675">
        <w:rPr>
          <w:color w:val="000000" w:themeColor="text1"/>
        </w:rPr>
        <w:lastRenderedPageBreak/>
        <w:t xml:space="preserve">incentivos. De fato, setores altamente intensivos em tecnologia e capital podem naturalmente alcançar patamares de produtividade maiores que setores intensivos em mão de obra; se ambos forem avaliados conjuntamente, medidas médias de desempenho tenderão a obscurecer quais segmentos estão efetivamente extraindo mais (ou menos) retorno dos benefícios fiscais. No PIM coexiste um espectro amplo de atividades industriais – desde linhas de montagem de bens tradicionais que empregam muita mão de obra, até fábricas de ponta, altamente automatizadas, produzindo eletrônicos avançados. Essa </w:t>
      </w:r>
      <w:r w:rsidRPr="0063710C">
        <w:rPr>
          <w:color w:val="000000" w:themeColor="text1"/>
        </w:rPr>
        <w:t>heterogeneidade produtiva</w:t>
      </w:r>
      <w:r w:rsidRPr="00304675">
        <w:rPr>
          <w:color w:val="000000" w:themeColor="text1"/>
        </w:rPr>
        <w:t xml:space="preserve"> requer uma abordagem analítica que compare “iguais com iguais”, </w:t>
      </w:r>
      <w:r w:rsidRPr="00FB3683">
        <w:rPr>
          <w:color w:val="000000" w:themeColor="text1"/>
        </w:rPr>
        <w:t>evitando distorções e possibilitando identificar com clareza onde a política gera resultados mais satisfatórios e onde eles ficam aquém do esperado.</w:t>
      </w:r>
    </w:p>
    <w:p w14:paraId="6A5781F4" w14:textId="46124281" w:rsidR="00304675" w:rsidRDefault="00304675" w:rsidP="002707CD">
      <w:pPr>
        <w:ind w:firstLine="708"/>
        <w:rPr>
          <w:color w:val="000000" w:themeColor="text1"/>
        </w:rPr>
      </w:pPr>
      <w:r w:rsidRPr="00FB3683">
        <w:rPr>
          <w:color w:val="000000" w:themeColor="text1"/>
        </w:rPr>
        <w:t>Nesse sentido, a presente pesquisa busca preencher uma lacuna metodológica importante ao avaliar a ZFM com um olhar desagregado e tecnicamente rigoroso. Propõe-se uma estratégia de análise em duas etapas, consolidada na literatura internacional, porém inédita em aplicações sobre a ZFM. Primeiramente, adota-se a técnica de clusterização não supervisionada K-means (JAIN, 2010) para agrupar os subsetores industriais do PIM em grupos homogêneos segundo características produtivas semelhantes –</w:t>
      </w:r>
      <w:r w:rsidR="002134DE" w:rsidRPr="00FB3683">
        <w:rPr>
          <w:color w:val="000000" w:themeColor="text1"/>
        </w:rPr>
        <w:t xml:space="preserve"> </w:t>
      </w:r>
      <w:r w:rsidRPr="00FB3683">
        <w:rPr>
          <w:color w:val="000000" w:themeColor="text1"/>
        </w:rPr>
        <w:t>escala</w:t>
      </w:r>
      <w:r w:rsidR="002134DE" w:rsidRPr="00FB3683">
        <w:rPr>
          <w:color w:val="000000" w:themeColor="text1"/>
        </w:rPr>
        <w:t>,</w:t>
      </w:r>
      <w:r w:rsidRPr="00FB3683">
        <w:rPr>
          <w:color w:val="000000" w:themeColor="text1"/>
        </w:rPr>
        <w:t xml:space="preserve"> intensidade de mão de obra</w:t>
      </w:r>
      <w:r w:rsidR="002134DE" w:rsidRPr="00FB3683">
        <w:rPr>
          <w:color w:val="000000" w:themeColor="text1"/>
        </w:rPr>
        <w:t>/</w:t>
      </w:r>
      <w:r w:rsidRPr="00FB3683">
        <w:rPr>
          <w:color w:val="000000" w:themeColor="text1"/>
        </w:rPr>
        <w:t xml:space="preserve">nível de automação, incentivos recebidos, nível de produção e produtividade média de cada subsetor. </w:t>
      </w:r>
      <w:r w:rsidR="000E1B64" w:rsidRPr="00FB3683">
        <w:rPr>
          <w:color w:val="000000" w:themeColor="text1"/>
        </w:rPr>
        <w:t>Essa segmentação inicial visa mitigar o problema</w:t>
      </w:r>
      <w:r w:rsidR="000E1B64" w:rsidRPr="000E1B64">
        <w:rPr>
          <w:color w:val="000000" w:themeColor="text1"/>
        </w:rPr>
        <w:t xml:space="preserve"> da heterogeneidade na comparação de eficiência, assegurando que </w:t>
      </w:r>
      <w:r w:rsidR="000E1B64" w:rsidRPr="00FB3683">
        <w:rPr>
          <w:color w:val="000000" w:themeColor="text1"/>
        </w:rPr>
        <w:t xml:space="preserve">cada grupo contenha unidades relativamente comparáveis. </w:t>
      </w:r>
      <w:r w:rsidRPr="00FB3683">
        <w:rPr>
          <w:color w:val="000000" w:themeColor="text1"/>
        </w:rPr>
        <w:t>Em seguida, para cada cluster resultante, procede-se à estimação da eficiência de cada grupo de indústrias por meio da Análise por Envoltória de Dados (DEA) (CHARNES; COOPER; RHODES, 1978). O modelo DEA empregado mede a capacidade de cada subsetor converter insumos (no caso, o valor do incentivo fiscal usufruído) em outputs econômicos – aqui representados pelo valor adicionado bruto gerado e pelo número</w:t>
      </w:r>
      <w:r w:rsidRPr="0063710C">
        <w:rPr>
          <w:color w:val="000000" w:themeColor="text1"/>
        </w:rPr>
        <w:t xml:space="preserve"> de empregos diretos correspondentes.</w:t>
      </w:r>
      <w:r w:rsidRPr="00304675">
        <w:rPr>
          <w:color w:val="000000" w:themeColor="text1"/>
        </w:rPr>
        <w:t xml:space="preserve"> Opta-se por um modelo DEA orientado a outputs, sob retornos variáveis de escala (VRS), usando como input os dados de renúncia fiscal fornecidos por SUFRAMA/Receita Federal, e como outputs os dados de valor adicionado e emprego obtidos de SUFRAMA e d</w:t>
      </w:r>
      <w:r w:rsidR="00DE3815">
        <w:rPr>
          <w:color w:val="000000" w:themeColor="text1"/>
        </w:rPr>
        <w:t>a</w:t>
      </w:r>
      <w:r w:rsidRPr="00304675">
        <w:rPr>
          <w:color w:val="000000" w:themeColor="text1"/>
        </w:rPr>
        <w:t xml:space="preserve"> RAIS</w:t>
      </w:r>
      <w:r w:rsidR="002707CD">
        <w:rPr>
          <w:color w:val="000000" w:themeColor="text1"/>
        </w:rPr>
        <w:t xml:space="preserve">. </w:t>
      </w:r>
      <w:r w:rsidR="002707CD" w:rsidRPr="002707CD">
        <w:rPr>
          <w:color w:val="000000" w:themeColor="text1"/>
        </w:rPr>
        <w:t xml:space="preserve"> A literatura confirma a pertinência dessa estratégia: a união de técnicas de clusterização e DEA é largamente empregada em avaliações de desempenho industrial e de políticas públicas, pois cria subconjuntos mais homogêneos antes de estimar a fronteira de eficiência (SIMAR; WILSON, 2007; SAMOILENKO; OSEI‑BRYCE, 2013). No contexto da Zona Franca de Manaus, contudo, os trabalhos disponíveis aplicaram apenas uma das etapas, nunca as duas em </w:t>
      </w:r>
      <w:r w:rsidR="002707CD" w:rsidRPr="002707CD">
        <w:rPr>
          <w:color w:val="000000" w:themeColor="text1"/>
        </w:rPr>
        <w:lastRenderedPageBreak/>
        <w:t>conjunto: Fernandes, </w:t>
      </w:r>
      <w:proofErr w:type="spellStart"/>
      <w:r w:rsidR="002707CD" w:rsidRPr="002707CD">
        <w:rPr>
          <w:color w:val="000000" w:themeColor="text1"/>
        </w:rPr>
        <w:t>Minori</w:t>
      </w:r>
      <w:proofErr w:type="spellEnd"/>
      <w:r w:rsidR="002707CD" w:rsidRPr="002707CD">
        <w:rPr>
          <w:color w:val="000000" w:themeColor="text1"/>
        </w:rPr>
        <w:t xml:space="preserve"> e Morais (2019) estimaram a eficiência do PIM usando DEA sem </w:t>
      </w:r>
      <w:proofErr w:type="spellStart"/>
      <w:r w:rsidR="002707CD" w:rsidRPr="002707CD">
        <w:rPr>
          <w:color w:val="000000" w:themeColor="text1"/>
        </w:rPr>
        <w:t>pré‑clusterizar</w:t>
      </w:r>
      <w:proofErr w:type="spellEnd"/>
      <w:r w:rsidR="002707CD" w:rsidRPr="002707CD">
        <w:rPr>
          <w:color w:val="000000" w:themeColor="text1"/>
        </w:rPr>
        <w:t xml:space="preserve"> os subsetores, enquanto </w:t>
      </w:r>
      <w:proofErr w:type="spellStart"/>
      <w:r w:rsidR="002707CD" w:rsidRPr="002707CD">
        <w:rPr>
          <w:color w:val="000000" w:themeColor="text1"/>
        </w:rPr>
        <w:t>Bolognese</w:t>
      </w:r>
      <w:proofErr w:type="spellEnd"/>
      <w:r w:rsidR="002707CD" w:rsidRPr="002707CD">
        <w:rPr>
          <w:color w:val="000000" w:themeColor="text1"/>
        </w:rPr>
        <w:t> (2024) utilizou K‑</w:t>
      </w:r>
      <w:proofErr w:type="spellStart"/>
      <w:r w:rsidR="002707CD" w:rsidRPr="002707CD">
        <w:rPr>
          <w:color w:val="000000" w:themeColor="text1"/>
        </w:rPr>
        <w:t>means</w:t>
      </w:r>
      <w:proofErr w:type="spellEnd"/>
      <w:r w:rsidR="002707CD" w:rsidRPr="002707CD">
        <w:rPr>
          <w:color w:val="000000" w:themeColor="text1"/>
        </w:rPr>
        <w:t xml:space="preserve"> para agrupar as atividades </w:t>
      </w:r>
      <w:proofErr w:type="gramStart"/>
      <w:r w:rsidR="002707CD" w:rsidRPr="002707CD">
        <w:rPr>
          <w:color w:val="000000" w:themeColor="text1"/>
        </w:rPr>
        <w:t>industriais</w:t>
      </w:r>
      <w:proofErr w:type="gramEnd"/>
      <w:r w:rsidR="002707CD" w:rsidRPr="002707CD">
        <w:rPr>
          <w:color w:val="000000" w:themeColor="text1"/>
        </w:rPr>
        <w:t xml:space="preserve"> mas não prosseguiu com a mensuração DEA. Assim, ao combinar K‑means com DEA – metodologia consolidada internacionalmente, mas inédita para a ZFM – este estudo preenche um claro gap analítico e fornece uma visão mais acurada da eficiência relativa dos subsetores do Polo Industrial de Manaus.</w:t>
      </w:r>
      <w:r w:rsidRPr="00304675">
        <w:rPr>
          <w:color w:val="000000" w:themeColor="text1"/>
        </w:rPr>
        <w:t xml:space="preserve"> </w:t>
      </w:r>
      <w:r w:rsidR="00FB4461" w:rsidRPr="00FB4461">
        <w:rPr>
          <w:color w:val="000000" w:themeColor="text1"/>
        </w:rPr>
        <w:t>Para capturar não apenas a “</w:t>
      </w:r>
      <w:r w:rsidR="00FB4461" w:rsidRPr="00FB3683">
        <w:rPr>
          <w:color w:val="000000" w:themeColor="text1"/>
        </w:rPr>
        <w:t>fotografia” estática, mas também a dinâmica de mudança da produtividade, estima‑se, em seguida, o Índice Malmquist Total Factor Productivity (TFP).</w:t>
      </w:r>
      <w:r w:rsidR="00DE3815" w:rsidRPr="00FB3683">
        <w:rPr>
          <w:color w:val="000000" w:themeColor="text1"/>
        </w:rPr>
        <w:t xml:space="preserve"> </w:t>
      </w:r>
      <w:r w:rsidR="00FB4461" w:rsidRPr="00FB3683">
        <w:rPr>
          <w:color w:val="000000" w:themeColor="text1"/>
        </w:rPr>
        <w:t xml:space="preserve">Esse índice, introduzido por </w:t>
      </w:r>
      <w:proofErr w:type="spellStart"/>
      <w:r w:rsidR="00FB4461" w:rsidRPr="00FB3683">
        <w:rPr>
          <w:color w:val="000000" w:themeColor="text1"/>
        </w:rPr>
        <w:t>Färe</w:t>
      </w:r>
      <w:proofErr w:type="spellEnd"/>
      <w:r w:rsidR="00FB4461" w:rsidRPr="00FB3683">
        <w:rPr>
          <w:color w:val="000000" w:themeColor="text1"/>
        </w:rPr>
        <w:t> et al. (1994) e amplamente utilizado em</w:t>
      </w:r>
      <w:r w:rsidR="00DE3815" w:rsidRPr="00FB3683">
        <w:rPr>
          <w:color w:val="000000" w:themeColor="text1"/>
        </w:rPr>
        <w:t xml:space="preserve"> </w:t>
      </w:r>
      <w:r w:rsidR="00FB4461" w:rsidRPr="00FB3683">
        <w:rPr>
          <w:color w:val="000000" w:themeColor="text1"/>
        </w:rPr>
        <w:t>avaliações de política industrial</w:t>
      </w:r>
      <w:r w:rsidR="00DE3815" w:rsidRPr="00FB3683">
        <w:rPr>
          <w:color w:val="000000" w:themeColor="text1"/>
        </w:rPr>
        <w:t xml:space="preserve"> </w:t>
      </w:r>
      <w:r w:rsidR="00FB4461" w:rsidRPr="00FB3683">
        <w:rPr>
          <w:color w:val="000000" w:themeColor="text1"/>
        </w:rPr>
        <w:t>(SIMAR; WILSON, 2007; SAMOILENKO; OSEI‑BRYCE, 2013), decompõe a variação intertemporal do desempenho em duas parcelas: mudança de eficiência técnica (catch‑</w:t>
      </w:r>
      <w:proofErr w:type="spellStart"/>
      <w:r w:rsidR="00FB4461" w:rsidRPr="00FB3683">
        <w:rPr>
          <w:color w:val="000000" w:themeColor="text1"/>
        </w:rPr>
        <w:t>up</w:t>
      </w:r>
      <w:proofErr w:type="spellEnd"/>
      <w:r w:rsidR="00FB4461" w:rsidRPr="00FB3683">
        <w:rPr>
          <w:color w:val="000000" w:themeColor="text1"/>
        </w:rPr>
        <w:t>) e deslocamento tecnológico (shift da fronteira). Tal decomposição permite verificar se os ganhos (ou perdas) observados nos subsetores do PIM decorrem</w:t>
      </w:r>
      <w:r w:rsidR="00FB4461" w:rsidRPr="00FB4461">
        <w:rPr>
          <w:color w:val="000000" w:themeColor="text1"/>
        </w:rPr>
        <w:t xml:space="preserve"> de melhorias internas de gestão ou do acesso a tecnologias mais avançadas, oferecendo, portanto, um quadro mais robusto para a formulação de ajustes de política. Em essência, a combinação de DEA, K‑means e Índice Malmquist permitirá medir quão próximo cada subsetor está da fronteira eficiente, bem como acompanhar a evolução anual dessa fronteira e dos escores de eficiência </w:t>
      </w:r>
      <w:r w:rsidR="00FB4461" w:rsidRPr="002707CD">
        <w:rPr>
          <w:color w:val="000000" w:themeColor="text1"/>
        </w:rPr>
        <w:t>– indicando, com precisão, quão eficientem</w:t>
      </w:r>
      <w:r w:rsidR="00FB4461" w:rsidRPr="00FB4461">
        <w:rPr>
          <w:color w:val="000000" w:themeColor="text1"/>
        </w:rPr>
        <w:t>ente cada real em incentivos é transformado em riqueza e postos de trabalho para a região.</w:t>
      </w:r>
    </w:p>
    <w:p w14:paraId="5124FC5E" w14:textId="6B0CBAF3" w:rsidR="00811DCC" w:rsidRPr="00304675" w:rsidRDefault="00811DCC" w:rsidP="00811DCC">
      <w:pPr>
        <w:ind w:firstLine="708"/>
        <w:rPr>
          <w:color w:val="000000" w:themeColor="text1"/>
        </w:rPr>
      </w:pPr>
      <w:r w:rsidRPr="00811DCC">
        <w:rPr>
          <w:color w:val="000000" w:themeColor="text1"/>
        </w:rPr>
        <w:t xml:space="preserve">Partindo dessa lógica, </w:t>
      </w:r>
      <w:proofErr w:type="gramStart"/>
      <w:r w:rsidRPr="00811DCC">
        <w:rPr>
          <w:color w:val="000000" w:themeColor="text1"/>
        </w:rPr>
        <w:t>formula</w:t>
      </w:r>
      <w:proofErr w:type="gramEnd"/>
      <w:r w:rsidRPr="00811DCC">
        <w:rPr>
          <w:color w:val="000000" w:themeColor="text1"/>
        </w:rPr>
        <w:t>‑se a hipótese central do estudo: quanto maior o grau de automação de um subsetor do PIM, maior será a eficiência na conversão dos incentivos fiscais em valor adicionado bruto, mas menor será a eficiência na conversão desses mesmos incentivos em empregos diretos – evidenciando um trade‑off entre criação de valor e geração de postos de trabalho. A hipótese nula postula inexistência desse trade‑off, isto é, o nível de automação não altera, ou altera na mesma direção, ambas as eficiências. Testar esse enunciado permitirá verificar se os incentivos favorecem inadvertidamente setores altamente automatizados em detrimento dos mais intensivos em mão de obra.</w:t>
      </w:r>
      <w:r>
        <w:rPr>
          <w:color w:val="000000" w:themeColor="text1"/>
        </w:rPr>
        <w:t xml:space="preserve"> </w:t>
      </w:r>
      <w:r w:rsidRPr="00811DCC">
        <w:rPr>
          <w:color w:val="000000" w:themeColor="text1"/>
        </w:rPr>
        <w:t>Para operacionalizar o grau de automação, utiliza‑se a razão entre o valor contábil do ativo imobilizado em máquinas e equipamentos, reportado nos Relatórios Anuais da SUFRAMA, e o número de empregados diretos do subsetor registrado na RAIS; esse indicador de capital por trabalhador é amplamente empregado como proxy de automação na literatura de produtividade industrial (ACEMOGLU; RESTREPO, 2019;</w:t>
      </w:r>
      <w:r>
        <w:rPr>
          <w:color w:val="000000" w:themeColor="text1"/>
        </w:rPr>
        <w:t xml:space="preserve"> </w:t>
      </w:r>
      <w:r w:rsidRPr="00811DCC">
        <w:rPr>
          <w:color w:val="000000" w:themeColor="text1"/>
        </w:rPr>
        <w:t>DORN; HANSON, 2020).</w:t>
      </w:r>
    </w:p>
    <w:p w14:paraId="035B4448" w14:textId="42CA15DC" w:rsidR="00FB4461" w:rsidRPr="00FB3683" w:rsidRDefault="00FB4461" w:rsidP="00EE20AB">
      <w:pPr>
        <w:ind w:firstLine="708"/>
        <w:rPr>
          <w:color w:val="000000" w:themeColor="text1"/>
        </w:rPr>
      </w:pPr>
      <w:r w:rsidRPr="00FB4461">
        <w:rPr>
          <w:color w:val="000000" w:themeColor="text1"/>
        </w:rPr>
        <w:lastRenderedPageBreak/>
        <w:t xml:space="preserve">Essa estratégia analítica em duas etapas – expandida por uma terceira, de caráter dinâmico – assegura comparações justas entre unidades com perfis distintos e amplia o alcance da avaliação de performance. </w:t>
      </w:r>
      <w:r w:rsidR="002134DE" w:rsidRPr="002134DE">
        <w:rPr>
          <w:color w:val="000000" w:themeColor="text1"/>
        </w:rPr>
        <w:t>Os resultados testarão se o modelo atual de incentivos usa de forma ótima todos os recursos renunciados</w:t>
      </w:r>
      <w:r w:rsidRPr="00FB4461">
        <w:rPr>
          <w:color w:val="000000" w:themeColor="text1"/>
        </w:rPr>
        <w:t xml:space="preserve">. Em suma, a combinação de cluster K‑means, DEA estática e Índice Malmquist dinâmico permite não apenas medir a eficiência de cada subsetor em um dado ano, mas também acompanhar sua evolução, revelando padrões de heterogeneidade </w:t>
      </w:r>
      <w:proofErr w:type="spellStart"/>
      <w:r w:rsidRPr="00FB4461">
        <w:rPr>
          <w:color w:val="000000" w:themeColor="text1"/>
        </w:rPr>
        <w:t>inter</w:t>
      </w:r>
      <w:proofErr w:type="spellEnd"/>
      <w:r w:rsidRPr="00FB4461">
        <w:rPr>
          <w:color w:val="000000" w:themeColor="text1"/>
        </w:rPr>
        <w:t xml:space="preserve">‑ e </w:t>
      </w:r>
      <w:proofErr w:type="spellStart"/>
      <w:r w:rsidRPr="00FB4461">
        <w:rPr>
          <w:color w:val="000000" w:themeColor="text1"/>
        </w:rPr>
        <w:t>intra‑grupos</w:t>
      </w:r>
      <w:proofErr w:type="spellEnd"/>
      <w:r w:rsidRPr="00FB4461">
        <w:rPr>
          <w:color w:val="000000" w:themeColor="text1"/>
        </w:rPr>
        <w:t xml:space="preserve"> ao longo de 2018‑2023 – </w:t>
      </w:r>
      <w:r w:rsidRPr="00FB3683">
        <w:rPr>
          <w:color w:val="000000" w:themeColor="text1"/>
        </w:rPr>
        <w:t>insumo valioso para ajustes finos na política de incentivos.</w:t>
      </w:r>
    </w:p>
    <w:p w14:paraId="774C6EBF" w14:textId="24025A24" w:rsidR="00FB4461" w:rsidRDefault="00304675" w:rsidP="00D82476">
      <w:pPr>
        <w:ind w:firstLine="708"/>
        <w:rPr>
          <w:color w:val="000000" w:themeColor="text1"/>
        </w:rPr>
      </w:pPr>
      <w:r w:rsidRPr="00FB3683">
        <w:rPr>
          <w:color w:val="000000" w:themeColor="text1"/>
        </w:rPr>
        <w:t xml:space="preserve">O objetivo central deste estudo, portanto, é avaliar a eficiência relativa com que os incentivos fiscais da ZFM vêm sendo convertidos em crescimento econômico e desenvolvimento socioeconômico – medidos, respectivamente, pelo valor adicionado bruto e pelo emprego direto gerado no PIM. Em termos práticos, pergunta-se: </w:t>
      </w:r>
      <w:r w:rsidR="00FD1A52" w:rsidRPr="00FB3683">
        <w:rPr>
          <w:color w:val="000000" w:themeColor="text1"/>
        </w:rPr>
        <w:t>em que medida, ao longo de 2018‑2023, cada subsetor industrial do PIM transformou o subsídio tributário recebido em valor adicionado e empregos, e como essa eficiência evoluiu no período?</w:t>
      </w:r>
      <w:r w:rsidRPr="00FB3683">
        <w:rPr>
          <w:color w:val="000000" w:themeColor="text1"/>
        </w:rPr>
        <w:t xml:space="preserve"> </w:t>
      </w:r>
      <w:r w:rsidR="00FB4461" w:rsidRPr="00FB3683">
        <w:rPr>
          <w:color w:val="000000" w:themeColor="text1"/>
        </w:rPr>
        <w:t xml:space="preserve">Para tal, utiliza‑se uma base de dados longitudinal (2018‑2023), composta por informações detalhadas dos Relatórios </w:t>
      </w:r>
      <w:r w:rsidR="00FB4461" w:rsidRPr="00FB3683">
        <w:t xml:space="preserve">Anuais da SUFRAMA, </w:t>
      </w:r>
      <w:r w:rsidR="00DE3815" w:rsidRPr="00FB3683">
        <w:t>pelos registros de incentivos fiscais disponibilizados pela</w:t>
      </w:r>
      <w:r w:rsidR="00DE3815" w:rsidRPr="00460ACA">
        <w:t xml:space="preserve"> Receita Federal, e pelos microdados da RAIS (2018‑2023)</w:t>
      </w:r>
      <w:r w:rsidR="00DE3815" w:rsidRPr="00DE3815">
        <w:rPr>
          <w:color w:val="000000" w:themeColor="text1"/>
        </w:rPr>
        <w:t>.</w:t>
      </w:r>
      <w:r w:rsidR="00DE3815">
        <w:rPr>
          <w:color w:val="000000" w:themeColor="text1"/>
        </w:rPr>
        <w:t xml:space="preserve"> </w:t>
      </w:r>
      <w:r w:rsidR="00D82476" w:rsidRPr="00D82476">
        <w:rPr>
          <w:color w:val="000000" w:themeColor="text1"/>
        </w:rPr>
        <w:t>Opta-se por encerrar a série em 2023, visto que a RAIS 2024 ainda não foi liberada em microdados definitivos; incluir esse ano geraria série de emprego incompleta</w:t>
      </w:r>
      <w:r w:rsidR="00710EAE">
        <w:rPr>
          <w:color w:val="000000" w:themeColor="text1"/>
        </w:rPr>
        <w:t>, comprometendo</w:t>
      </w:r>
      <w:r w:rsidR="00D82476" w:rsidRPr="00D82476">
        <w:rPr>
          <w:color w:val="000000" w:themeColor="text1"/>
        </w:rPr>
        <w:t xml:space="preserve"> a comparabilidade dos indicadores e potencia</w:t>
      </w:r>
      <w:r w:rsidR="002C5D8E">
        <w:rPr>
          <w:color w:val="000000" w:themeColor="text1"/>
        </w:rPr>
        <w:t>is</w:t>
      </w:r>
      <w:r w:rsidR="00710EAE">
        <w:rPr>
          <w:color w:val="000000" w:themeColor="text1"/>
        </w:rPr>
        <w:t xml:space="preserve"> </w:t>
      </w:r>
      <w:r w:rsidR="00D82476" w:rsidRPr="00D82476">
        <w:rPr>
          <w:color w:val="000000" w:themeColor="text1"/>
        </w:rPr>
        <w:t>vi</w:t>
      </w:r>
      <w:r w:rsidR="002C5D8E">
        <w:rPr>
          <w:color w:val="000000" w:themeColor="text1"/>
        </w:rPr>
        <w:t>e</w:t>
      </w:r>
      <w:r w:rsidR="00D82476" w:rsidRPr="00D82476">
        <w:rPr>
          <w:color w:val="000000" w:themeColor="text1"/>
        </w:rPr>
        <w:t>s</w:t>
      </w:r>
      <w:r w:rsidR="002C5D8E">
        <w:rPr>
          <w:color w:val="000000" w:themeColor="text1"/>
        </w:rPr>
        <w:t>es</w:t>
      </w:r>
      <w:r w:rsidR="00D82476" w:rsidRPr="00D82476">
        <w:rPr>
          <w:color w:val="000000" w:themeColor="text1"/>
        </w:rPr>
        <w:t xml:space="preserve"> na formação de clusters, nos escores DEA e no índice Malmquist.</w:t>
      </w:r>
      <w:r w:rsidR="00D82476">
        <w:rPr>
          <w:color w:val="000000" w:themeColor="text1"/>
        </w:rPr>
        <w:t xml:space="preserve"> </w:t>
      </w:r>
      <w:r w:rsidR="00D07007">
        <w:rPr>
          <w:color w:val="000000" w:themeColor="text1"/>
        </w:rPr>
        <w:t>Assim, a</w:t>
      </w:r>
      <w:r w:rsidR="00FB4461" w:rsidRPr="00FB4461">
        <w:rPr>
          <w:color w:val="000000" w:themeColor="text1"/>
        </w:rPr>
        <w:t xml:space="preserve"> avaliação desta compilação abrangente e atualizada de fontes fornecerá evidências empíricas sólidas e neutras, contribuindo diretamente para o debate sobre eventuais ajustes ou reformas na política fiscal da ZFM, especialmente diante da recente extensão dos benefícios até 2073.</w:t>
      </w:r>
    </w:p>
    <w:p w14:paraId="2DFA605C" w14:textId="331C3074" w:rsidR="00B14852" w:rsidRDefault="00304675" w:rsidP="00B14852">
      <w:pPr>
        <w:ind w:firstLine="708"/>
        <w:rPr>
          <w:color w:val="000000" w:themeColor="text1"/>
        </w:rPr>
      </w:pPr>
      <w:r w:rsidRPr="00304675">
        <w:rPr>
          <w:color w:val="000000" w:themeColor="text1"/>
        </w:rPr>
        <w:t>Este trabalho dialoga diretamente com a literatura sobre eficiência produtiva e gestão pública responsável, em linha com estudos que aplicam métodos quantitativos para avaliar gastos públicos</w:t>
      </w:r>
      <w:r w:rsidR="00D07007">
        <w:rPr>
          <w:color w:val="000000" w:themeColor="text1"/>
        </w:rPr>
        <w:t xml:space="preserve">. </w:t>
      </w:r>
      <w:r w:rsidRPr="00304675">
        <w:rPr>
          <w:color w:val="000000" w:themeColor="text1"/>
        </w:rPr>
        <w:t>Almeida e Gasparini (2011)</w:t>
      </w:r>
      <w:r w:rsidR="00D07007">
        <w:rPr>
          <w:color w:val="000000" w:themeColor="text1"/>
        </w:rPr>
        <w:t>, por exemplo, aplicaram</w:t>
      </w:r>
      <w:r w:rsidRPr="00304675">
        <w:rPr>
          <w:color w:val="000000" w:themeColor="text1"/>
        </w:rPr>
        <w:t xml:space="preserve"> a DEA </w:t>
      </w:r>
      <w:r w:rsidR="00D07007">
        <w:rPr>
          <w:color w:val="000000" w:themeColor="text1"/>
        </w:rPr>
        <w:t>a</w:t>
      </w:r>
      <w:r w:rsidRPr="00304675">
        <w:rPr>
          <w:color w:val="000000" w:themeColor="text1"/>
        </w:rPr>
        <w:t xml:space="preserve">os dispêndios educacionais nos municípios da Paraíba, evidenciando discrepâncias relevantes e potenciais ganhos de eficiência na </w:t>
      </w:r>
      <w:r w:rsidR="00D07007">
        <w:rPr>
          <w:color w:val="000000" w:themeColor="text1"/>
        </w:rPr>
        <w:t>re</w:t>
      </w:r>
      <w:r w:rsidRPr="00304675">
        <w:rPr>
          <w:color w:val="000000" w:themeColor="text1"/>
        </w:rPr>
        <w:t xml:space="preserve">alocação dos recursos. Como destaca Almeida, avaliar rigorosamente a eficiência por meio de técnicas quantitativas é fundamental para aprimorar políticas públicas, permitindo direcionar melhor os recursos escassos do Estado em busca de resultados econômicos e sociais mais efetivos (ALMEIDA; GASPARINI, 2011). </w:t>
      </w:r>
    </w:p>
    <w:p w14:paraId="6F95359D" w14:textId="77777777" w:rsidR="00710EAE" w:rsidRPr="0085067B" w:rsidRDefault="00710EAE" w:rsidP="002134DE">
      <w:pPr>
        <w:rPr>
          <w:color w:val="000000" w:themeColor="text1"/>
        </w:rPr>
      </w:pPr>
    </w:p>
    <w:p w14:paraId="3A7D17F4" w14:textId="2D1E068D" w:rsidR="00752A19" w:rsidRPr="00447432" w:rsidRDefault="00B36113" w:rsidP="00447432">
      <w:pPr>
        <w:pStyle w:val="Ttulo2"/>
      </w:pPr>
      <w:bookmarkStart w:id="3" w:name="_Toc210058156"/>
      <w:bookmarkEnd w:id="2"/>
      <w:r>
        <w:lastRenderedPageBreak/>
        <w:t>FORMULAÇÃO DO PROBLEMA</w:t>
      </w:r>
      <w:bookmarkEnd w:id="3"/>
    </w:p>
    <w:p w14:paraId="1831FF45" w14:textId="75F556C2" w:rsidR="00560A3F" w:rsidRDefault="00560A3F" w:rsidP="00181194"/>
    <w:p w14:paraId="3DF571A3" w14:textId="29DFBE67" w:rsidR="00097A11" w:rsidRPr="001958D5" w:rsidRDefault="00FD1A52" w:rsidP="001958D5">
      <w:pPr>
        <w:ind w:firstLine="708"/>
        <w:rPr>
          <w:color w:val="000000" w:themeColor="text1"/>
        </w:rPr>
      </w:pPr>
      <w:r w:rsidRPr="00FD1A52">
        <w:rPr>
          <w:color w:val="000000" w:themeColor="text1"/>
        </w:rPr>
        <w:t>Como a heterogeneidade produtiva dos subsetores do Polo Industrial de Manaus afeta a eficiência de conversão dos incentivos fiscais em valor adicionado bruto e empregos ao longo de 2018‑2023, e quais segmentos evidenciam maior ineficiência relativa no ano‑base de 2023</w:t>
      </w:r>
      <w:r w:rsidR="00097A11" w:rsidRPr="00097A11">
        <w:rPr>
          <w:color w:val="000000" w:themeColor="text1"/>
        </w:rPr>
        <w:t>?</w:t>
      </w:r>
    </w:p>
    <w:p w14:paraId="56B9688D" w14:textId="77777777" w:rsidR="00794651" w:rsidRPr="00560A3F" w:rsidRDefault="00794651" w:rsidP="00794651"/>
    <w:p w14:paraId="52B5C5C9" w14:textId="32A0AF35" w:rsidR="00397B0E" w:rsidRPr="00397B0E" w:rsidRDefault="00AC03C4" w:rsidP="00397B0E">
      <w:pPr>
        <w:pStyle w:val="Ttulo2"/>
      </w:pPr>
      <w:bookmarkStart w:id="4" w:name="_Toc210058157"/>
      <w:r>
        <w:t>OBJETIVO GERAL</w:t>
      </w:r>
      <w:bookmarkEnd w:id="4"/>
    </w:p>
    <w:p w14:paraId="71756E90" w14:textId="77777777" w:rsidR="0012232B" w:rsidRPr="00257ED0" w:rsidRDefault="0012232B" w:rsidP="00257ED0"/>
    <w:p w14:paraId="36B5A8E7" w14:textId="375D031A" w:rsidR="00EE20AB" w:rsidRDefault="006D4081" w:rsidP="00B14852">
      <w:pPr>
        <w:ind w:firstLine="708"/>
        <w:rPr>
          <w:color w:val="000000" w:themeColor="text1"/>
        </w:rPr>
      </w:pPr>
      <w:bookmarkStart w:id="5" w:name="_Toc119922511"/>
      <w:r w:rsidRPr="006D4081">
        <w:rPr>
          <w:color w:val="000000" w:themeColor="text1"/>
        </w:rPr>
        <w:t>Mensurar, no horizonte 2018‑2023, a eficiência relativa dos subsetores do Polo Industrial de Manaus mediante um procedimento em duas etapas: (i) aplicar a técnica de clusterização não supervisionada (K‑means) para agrupar os subsetores em grupos homogêneos segundo características produtivas; e (</w:t>
      </w:r>
      <w:proofErr w:type="spellStart"/>
      <w:r w:rsidRPr="006D4081">
        <w:rPr>
          <w:color w:val="000000" w:themeColor="text1"/>
        </w:rPr>
        <w:t>ii</w:t>
      </w:r>
      <w:proofErr w:type="spellEnd"/>
      <w:r w:rsidRPr="006D4081">
        <w:rPr>
          <w:color w:val="000000" w:themeColor="text1"/>
        </w:rPr>
        <w:t xml:space="preserve">) estimar, dentro de cada agrupamento, a eficiência técnica por meio da Análise por Envoltória de Dados (DEA) — tomando como input o montante de incentivos fiscais usufruído e, como outputs, o valor adicionado bruto e o número de empregos diretos gerados —, decompondo os escores para analisar sua evolução anual </w:t>
      </w:r>
      <w:r w:rsidR="00745ECB" w:rsidRPr="00745ECB">
        <w:rPr>
          <w:color w:val="000000" w:themeColor="text1"/>
        </w:rPr>
        <w:t>(por meio</w:t>
      </w:r>
      <w:r w:rsidR="00745ECB">
        <w:rPr>
          <w:color w:val="000000" w:themeColor="text1"/>
        </w:rPr>
        <w:t xml:space="preserve"> </w:t>
      </w:r>
      <w:r w:rsidR="00745ECB" w:rsidRPr="00745ECB">
        <w:rPr>
          <w:color w:val="000000" w:themeColor="text1"/>
        </w:rPr>
        <w:t>do índice Malmquist) ao longo de 2018-2023</w:t>
      </w:r>
      <w:r w:rsidR="00745ECB">
        <w:rPr>
          <w:color w:val="000000" w:themeColor="text1"/>
        </w:rPr>
        <w:t>.</w:t>
      </w:r>
    </w:p>
    <w:p w14:paraId="67D99A5F" w14:textId="77777777" w:rsidR="006D562E" w:rsidRDefault="006D562E" w:rsidP="006D562E">
      <w:pPr>
        <w:rPr>
          <w:color w:val="000000" w:themeColor="text1"/>
        </w:rPr>
      </w:pPr>
    </w:p>
    <w:p w14:paraId="38D89202" w14:textId="417DCA4F" w:rsidR="00DE3815" w:rsidRPr="00397B0E" w:rsidRDefault="00397B0E" w:rsidP="00397B0E">
      <w:pPr>
        <w:pStyle w:val="Ttulo1"/>
        <w:ind w:left="284" w:hanging="284"/>
      </w:pPr>
      <w:bookmarkStart w:id="6" w:name="_Toc210058158"/>
      <w:r>
        <w:t>F</w:t>
      </w:r>
      <w:r w:rsidRPr="00397B0E">
        <w:t>UNDAMENTAÇÃO TEÓRICA</w:t>
      </w:r>
      <w:bookmarkEnd w:id="6"/>
    </w:p>
    <w:p w14:paraId="7D51A281" w14:textId="77777777" w:rsidR="00397B0E" w:rsidRPr="00397B0E" w:rsidRDefault="00397B0E" w:rsidP="00397B0E">
      <w:pPr>
        <w:rPr>
          <w:color w:val="000000" w:themeColor="text1"/>
        </w:rPr>
      </w:pPr>
    </w:p>
    <w:p w14:paraId="489BF00C" w14:textId="703F2635" w:rsidR="00397B0E" w:rsidRDefault="00397B0E" w:rsidP="00397B0E">
      <w:pPr>
        <w:pStyle w:val="Ttulo2"/>
      </w:pPr>
      <w:bookmarkStart w:id="7" w:name="_Toc210058159"/>
      <w:r w:rsidRPr="00397B0E">
        <w:t>ZONA FRANCA DE MANAUS E INCENTIVOS FISCAIS</w:t>
      </w:r>
      <w:bookmarkEnd w:id="7"/>
    </w:p>
    <w:p w14:paraId="2A7C51F5" w14:textId="77777777" w:rsidR="00397B0E" w:rsidRPr="00397B0E" w:rsidRDefault="00397B0E" w:rsidP="00397B0E"/>
    <w:p w14:paraId="123611DE" w14:textId="3C58EAB1" w:rsidR="00397B0E" w:rsidRPr="00397B0E" w:rsidRDefault="00397B0E" w:rsidP="00397B0E">
      <w:pPr>
        <w:ind w:firstLine="708"/>
        <w:rPr>
          <w:color w:val="000000" w:themeColor="text1"/>
        </w:rPr>
      </w:pPr>
      <w:r w:rsidRPr="00397B0E">
        <w:rPr>
          <w:color w:val="000000" w:themeColor="text1"/>
        </w:rPr>
        <w:t xml:space="preserve">Políticas de incentivos fiscais compõem o repertório de instrumentos </w:t>
      </w:r>
      <w:proofErr w:type="spellStart"/>
      <w:r w:rsidRPr="00397B0E">
        <w:rPr>
          <w:color w:val="000000" w:themeColor="text1"/>
        </w:rPr>
        <w:t>place-based</w:t>
      </w:r>
      <w:proofErr w:type="spellEnd"/>
      <w:r w:rsidRPr="00397B0E">
        <w:rPr>
          <w:color w:val="000000" w:themeColor="text1"/>
        </w:rPr>
        <w:t xml:space="preserve"> voltados a alterar a geografia da atividade econômica por meio de reduções tributárias, créditos presumidos ou isenções condicionadas a investimento e geração de empregos em territórios específicos. Diferem das políticas horizontais (reformas regulatórias gerais, infraestrutura de alcance nacional, qualificação de mão de obra em escala) por buscarem relocalizar ou induzir decisões privadas em áreas com desvantagens estruturais. Em termos normativos, a justificativa repousa na correção de falhas de mercado (externalidades de aglomeração, coordenação, aprendizado e informação) e na promoção de equidade espacial quando objetivos distributivos regionais são relevantes para a política pública. A Nova Geografia Econômica mostrou como retornos crescentes à escala, custos de transporte e “efeitos de mercado” criam incentivos à concentração </w:t>
      </w:r>
      <w:r w:rsidRPr="00397B0E">
        <w:rPr>
          <w:color w:val="000000" w:themeColor="text1"/>
        </w:rPr>
        <w:lastRenderedPageBreak/>
        <w:t xml:space="preserve">produtiva, de modo que choques de política (subsídios, isenções) podem deslocar o sistema para equilíbrios com maior densidade industrial (KRUGMAN, 1991). Em paralelo, a tradição dos encadeamentos para trás e para frente (HIRSCHMAN, 1958) sustenta que um empurrão coordenado pode ativar sinergias entre firmas, fornecedores e serviços especializados, elevando produtividade local ao longo do tempo. Avaliações contemporâneas enfatizam mensurar </w:t>
      </w:r>
      <w:proofErr w:type="spellStart"/>
      <w:r w:rsidRPr="00397B0E">
        <w:rPr>
          <w:color w:val="000000" w:themeColor="text1"/>
        </w:rPr>
        <w:t>additionality</w:t>
      </w:r>
      <w:proofErr w:type="spellEnd"/>
      <w:r w:rsidRPr="00397B0E">
        <w:rPr>
          <w:color w:val="000000" w:themeColor="text1"/>
        </w:rPr>
        <w:t xml:space="preserve"> (o que a política gerou além do contrafactual), distinguindo criação líquida de mero deslocamento geográfico de atividades (KLINE; MORETTI, 2014).</w:t>
      </w:r>
    </w:p>
    <w:p w14:paraId="358EF789" w14:textId="3A306A62" w:rsidR="00397B0E" w:rsidRPr="00397B0E" w:rsidRDefault="00397B0E" w:rsidP="00397B0E">
      <w:pPr>
        <w:ind w:firstLine="708"/>
        <w:rPr>
          <w:color w:val="000000" w:themeColor="text1"/>
        </w:rPr>
      </w:pPr>
      <w:r w:rsidRPr="00397B0E">
        <w:rPr>
          <w:color w:val="000000" w:themeColor="text1"/>
        </w:rPr>
        <w:t>É nesse enquadramento que se insere a Zona Franca de Manaus (ZFM), instituída em 1967 para induzir industrialização na Amazônia Ocidental mediante um regime de benefícios fiscais e extrafiscais. O arranjo consolidou o Polo Industrial de Manaus (PIM) com cadeias relevantes em eletroeletrônicos, informática, duas rodas, químico e termoplástico, entre outras. Embora rotulada como “zona franca”, a estrutura produtiva se orienta majoritariamente ao mercado interno, o que aproxima o modelo de uma política de substituição de importações com objetivos regionais. A magnitude das renúncias e sua extensão temporal — reforçada pela prorrogação até 2073 — fizeram da ZFM um caso-teste sobre eficiência alocativa: o montante de recursos renunciados tem sido convertido, com eficiência, em valor adicionado e empregos?</w:t>
      </w:r>
    </w:p>
    <w:p w14:paraId="4DBE18E9" w14:textId="1D284C25" w:rsidR="00397B0E" w:rsidRPr="00397B0E" w:rsidRDefault="00397B0E" w:rsidP="001609AF">
      <w:pPr>
        <w:ind w:firstLine="708"/>
        <w:rPr>
          <w:color w:val="000000" w:themeColor="text1"/>
        </w:rPr>
      </w:pPr>
      <w:r w:rsidRPr="00397B0E">
        <w:rPr>
          <w:color w:val="000000" w:themeColor="text1"/>
        </w:rPr>
        <w:t>A resposta na literatura é ambivalente. Em uma vertente, estudos destacam ganhos socioeconômicos líquidos e efeitos ambientais indiretos (urbanização que conteria pressões sobre a floresta), sugerindo multiplicadores favoráveis e impactos positivos em emprego e renda locais (HOLLAND; MANSANO; CAMPOS, 2019; CASTILHO; MENÉNDEZ; SZTULMAN, 2019). Em outra, avaliações de órgãos de controle e instituições multilaterais apontam baixo impacto sobre produtividade e custo fiscal elevado, recomendando reavaliação do desenho e da focalização dos incentivos (TCU, 2022; BANCO MUNDIAL, 2023). No eixo microeconômico, análises recentes não identificam “bônus” de eficiência produtiva das firmas do PIM frente a comparáveis nacionais (ASSUNÇÃO; HOLZ; SCHUTZE, 2020; CPI/PUC-RIO, 2023). Esse dissenso não invalida a política, mas reformula a pergunta: mais do que “quanto foi produzido”, interessa saber quão eficientemente os incentivos foram transformados em resultados econômicos e sociais.</w:t>
      </w:r>
    </w:p>
    <w:p w14:paraId="5F47D329" w14:textId="6E6E0286" w:rsidR="00397B0E" w:rsidRPr="00397B0E" w:rsidRDefault="00397B0E" w:rsidP="00397B0E">
      <w:pPr>
        <w:ind w:firstLine="708"/>
        <w:rPr>
          <w:color w:val="000000" w:themeColor="text1"/>
        </w:rPr>
      </w:pPr>
      <w:r w:rsidRPr="00397B0E">
        <w:rPr>
          <w:color w:val="000000" w:themeColor="text1"/>
        </w:rPr>
        <w:t xml:space="preserve">O desenho institucional da ZFM buscou mitigar riscos clássicos de políticas </w:t>
      </w:r>
      <w:proofErr w:type="spellStart"/>
      <w:r w:rsidRPr="00397B0E">
        <w:rPr>
          <w:color w:val="000000" w:themeColor="text1"/>
        </w:rPr>
        <w:t>place-based</w:t>
      </w:r>
      <w:proofErr w:type="spellEnd"/>
      <w:r w:rsidRPr="00397B0E">
        <w:rPr>
          <w:color w:val="000000" w:themeColor="text1"/>
        </w:rPr>
        <w:t xml:space="preserve"> — </w:t>
      </w:r>
      <w:proofErr w:type="spellStart"/>
      <w:r w:rsidRPr="00397B0E">
        <w:rPr>
          <w:color w:val="000000" w:themeColor="text1"/>
        </w:rPr>
        <w:t>race</w:t>
      </w:r>
      <w:proofErr w:type="spellEnd"/>
      <w:r w:rsidRPr="00397B0E">
        <w:rPr>
          <w:color w:val="000000" w:themeColor="text1"/>
        </w:rPr>
        <w:t xml:space="preserve"> </w:t>
      </w:r>
      <w:proofErr w:type="spellStart"/>
      <w:r w:rsidRPr="00397B0E">
        <w:rPr>
          <w:color w:val="000000" w:themeColor="text1"/>
        </w:rPr>
        <w:t>to</w:t>
      </w:r>
      <w:proofErr w:type="spellEnd"/>
      <w:r w:rsidRPr="00397B0E">
        <w:rPr>
          <w:color w:val="000000" w:themeColor="text1"/>
        </w:rPr>
        <w:t xml:space="preserve"> </w:t>
      </w:r>
      <w:proofErr w:type="spellStart"/>
      <w:r w:rsidRPr="00397B0E">
        <w:rPr>
          <w:color w:val="000000" w:themeColor="text1"/>
        </w:rPr>
        <w:t>the</w:t>
      </w:r>
      <w:proofErr w:type="spellEnd"/>
      <w:r w:rsidRPr="00397B0E">
        <w:rPr>
          <w:color w:val="000000" w:themeColor="text1"/>
        </w:rPr>
        <w:t xml:space="preserve"> </w:t>
      </w:r>
      <w:proofErr w:type="spellStart"/>
      <w:r w:rsidRPr="00397B0E">
        <w:rPr>
          <w:color w:val="000000" w:themeColor="text1"/>
        </w:rPr>
        <w:t>bottom</w:t>
      </w:r>
      <w:proofErr w:type="spellEnd"/>
      <w:r w:rsidRPr="00397B0E">
        <w:rPr>
          <w:color w:val="000000" w:themeColor="text1"/>
        </w:rPr>
        <w:t xml:space="preserve">, perdas de peso-morto por subsidiar investimentos que ocorreriam de todo modo, e </w:t>
      </w:r>
      <w:proofErr w:type="spellStart"/>
      <w:r w:rsidRPr="00397B0E">
        <w:rPr>
          <w:color w:val="000000" w:themeColor="text1"/>
        </w:rPr>
        <w:t>lock</w:t>
      </w:r>
      <w:proofErr w:type="spellEnd"/>
      <w:r w:rsidRPr="00397B0E">
        <w:rPr>
          <w:color w:val="000000" w:themeColor="text1"/>
        </w:rPr>
        <w:t xml:space="preserve">-in em atividades de baixo dinamismo (GLAESER; </w:t>
      </w:r>
      <w:r w:rsidRPr="00397B0E">
        <w:rPr>
          <w:color w:val="000000" w:themeColor="text1"/>
        </w:rPr>
        <w:lastRenderedPageBreak/>
        <w:t xml:space="preserve">GOTTLIEB, 2008; NEUMARK; SIMPSON, 2015). Para isso, adotou instrumentos de governança como os Processos Produtivos Básicos (PPB) e contrapartidas em P&amp;D. Os </w:t>
      </w:r>
      <w:proofErr w:type="spellStart"/>
      <w:r w:rsidRPr="00397B0E">
        <w:rPr>
          <w:color w:val="000000" w:themeColor="text1"/>
        </w:rPr>
        <w:t>PPBs</w:t>
      </w:r>
      <w:proofErr w:type="spellEnd"/>
      <w:r w:rsidRPr="00397B0E">
        <w:rPr>
          <w:color w:val="000000" w:themeColor="text1"/>
        </w:rPr>
        <w:t xml:space="preserve"> estabelecem etapas mínimas de industrialização local, tentando elevar o conteúdo doméstico e o adensamento de cadeias. A Lei de Informática da ZFM (Lei nº 8.387/1991) condiciona incentivos à aplicação de parcela do faturamento em Pesquisa e Desenvolvimento, preferencialmente com instituições da Amazônia Ocidental, buscando gerar capacidade tecnológica endógena e evitar que o polo se restrinja a montagem de componentes importados. Em termos avaliativos, tais instrumentos permitem investigar </w:t>
      </w:r>
      <w:proofErr w:type="spellStart"/>
      <w:r w:rsidRPr="00397B0E">
        <w:rPr>
          <w:color w:val="000000" w:themeColor="text1"/>
        </w:rPr>
        <w:t>additionality</w:t>
      </w:r>
      <w:proofErr w:type="spellEnd"/>
      <w:r w:rsidRPr="00397B0E">
        <w:rPr>
          <w:color w:val="000000" w:themeColor="text1"/>
        </w:rPr>
        <w:t xml:space="preserve"> tecnológica (incremento efetivo de P&amp;D, patentes, publicações, novos produtos/processos) e encadeamentos locais (fornecedores, serviços tecnológicos, capital humano).</w:t>
      </w:r>
    </w:p>
    <w:p w14:paraId="0A66FB80" w14:textId="5042C103" w:rsidR="00397B0E" w:rsidRPr="00397B0E" w:rsidRDefault="00397B0E" w:rsidP="00397B0E">
      <w:pPr>
        <w:ind w:firstLine="708"/>
        <w:rPr>
          <w:color w:val="000000" w:themeColor="text1"/>
        </w:rPr>
      </w:pPr>
      <w:r w:rsidRPr="00397B0E">
        <w:rPr>
          <w:color w:val="000000" w:themeColor="text1"/>
        </w:rPr>
        <w:t xml:space="preserve">Ainda assim, a literatura alerta para efeitos distributivos e incidência: </w:t>
      </w:r>
      <w:r w:rsidR="005C1749" w:rsidRPr="005C1749">
        <w:rPr>
          <w:color w:val="000000" w:themeColor="text1"/>
        </w:rPr>
        <w:t>parte dos benefícios pode capitalizar em preços de ativos locais (terra, aluguéis), com ganhos concentrados e repasses assimétricos (BARTIK, 1991; KLINE; MORETTI, 2014). Isso reforça a necessidade de contrapartidas claras, metas verificáveis (valor adicionado local, emprego direto, intensidade tecnológica) e monitoramento contínuo com foco em eficiência e bem-estar — não apenas em gasto ou faturamento.</w:t>
      </w:r>
    </w:p>
    <w:p w14:paraId="392BAA9B" w14:textId="73C777C3" w:rsidR="00397B0E" w:rsidRDefault="00397B0E" w:rsidP="005C1749">
      <w:pPr>
        <w:ind w:firstLine="708"/>
        <w:rPr>
          <w:color w:val="000000" w:themeColor="text1"/>
        </w:rPr>
      </w:pPr>
      <w:r w:rsidRPr="00397B0E">
        <w:rPr>
          <w:color w:val="000000" w:themeColor="text1"/>
        </w:rPr>
        <w:t xml:space="preserve">Dadas essas considerações, a ponte com o objetivo deste estudo torna-se direta. Primeiro, a heterogeneidade do PIM — convivência de linhas intensivas em trabalho e plantas altamente automatizadas — exige comparar “iguais com iguais”, o que justifica segmentação prévia por K-means. </w:t>
      </w:r>
      <w:proofErr w:type="gramStart"/>
      <w:r w:rsidRPr="00397B0E">
        <w:rPr>
          <w:color w:val="000000" w:themeColor="text1"/>
        </w:rPr>
        <w:t>Segundo, a</w:t>
      </w:r>
      <w:proofErr w:type="gramEnd"/>
      <w:r w:rsidRPr="00397B0E">
        <w:rPr>
          <w:color w:val="000000" w:themeColor="text1"/>
        </w:rPr>
        <w:t xml:space="preserve"> necessidade de mensurar eficiência relativa na conversão de incentivos em valor adicionado e emprego recomenda o uso de Análise Envoltória de Dados (DEA), técnica não paramétrica que lida com múltiplos insumos e produtos e não impõe forma funcional à tecnologia. Terceiro, como a ZFM é uma política de longa duração, importa observar trajetórias: a incorporação do Índice de Malmquist permite decompor a variação intertemporal em catch-</w:t>
      </w:r>
      <w:proofErr w:type="spellStart"/>
      <w:r w:rsidRPr="00397B0E">
        <w:rPr>
          <w:color w:val="000000" w:themeColor="text1"/>
        </w:rPr>
        <w:t>up</w:t>
      </w:r>
      <w:proofErr w:type="spellEnd"/>
      <w:r w:rsidRPr="00397B0E">
        <w:rPr>
          <w:color w:val="000000" w:themeColor="text1"/>
        </w:rPr>
        <w:t xml:space="preserve"> (aproximação da fronteira) e shift tecnológico (deslocamento da fronteira). Em síntese, a ZFM será aqui avaliada por um prisma que privilegia eficiência, heterogeneidade setorial e dinâmica temporal, alinhando teoria e mensuração aos objetivos do trabalho.</w:t>
      </w:r>
    </w:p>
    <w:p w14:paraId="28F0548D" w14:textId="77777777" w:rsidR="00397B0E" w:rsidRPr="00397B0E" w:rsidRDefault="00397B0E" w:rsidP="00397B0E">
      <w:pPr>
        <w:rPr>
          <w:color w:val="000000" w:themeColor="text1"/>
        </w:rPr>
      </w:pPr>
    </w:p>
    <w:p w14:paraId="5B3CBE3F" w14:textId="71071223" w:rsidR="00397B0E" w:rsidRDefault="00D95920" w:rsidP="00397B0E">
      <w:pPr>
        <w:pStyle w:val="Ttulo2"/>
      </w:pPr>
      <w:bookmarkStart w:id="8" w:name="_Toc210058160"/>
      <w:r>
        <w:t>E</w:t>
      </w:r>
      <w:r w:rsidRPr="00D95920">
        <w:t>FICIÊNCIA PRODUTIVA E A LÓGICA DO DEA</w:t>
      </w:r>
      <w:bookmarkEnd w:id="8"/>
    </w:p>
    <w:p w14:paraId="445B4ABB" w14:textId="77777777" w:rsidR="00397B0E" w:rsidRPr="00397B0E" w:rsidRDefault="00397B0E" w:rsidP="00397B0E"/>
    <w:p w14:paraId="2B7D80BD" w14:textId="26E869EF" w:rsidR="00397B0E" w:rsidRPr="00397B0E" w:rsidRDefault="00397B0E" w:rsidP="00397B0E">
      <w:pPr>
        <w:ind w:firstLine="708"/>
        <w:rPr>
          <w:color w:val="000000" w:themeColor="text1"/>
        </w:rPr>
      </w:pPr>
      <w:r w:rsidRPr="00397B0E">
        <w:rPr>
          <w:color w:val="000000" w:themeColor="text1"/>
        </w:rPr>
        <w:t xml:space="preserve">Eficiência produtiva é um conceito relacional: mede quão bem uma unidade transforma insumos em produtos quando comparada a uma referência de melhor prática </w:t>
      </w:r>
      <w:r w:rsidRPr="00397B0E">
        <w:rPr>
          <w:color w:val="000000" w:themeColor="text1"/>
        </w:rPr>
        <w:lastRenderedPageBreak/>
        <w:t>observada. Desde Farrell (1957), a análise parte da ideia de uma fronteira de produção – o limite tecnológico que, para cada combinação de insumos, estabelece o máximo de outputs factível. Unidades situadas nessa fronteira são tecnicamente eficientes; as demais exibem ineficiência, pois poderiam produzir mais (ou usar menos) mantendo a tecnologia disponível.</w:t>
      </w:r>
    </w:p>
    <w:p w14:paraId="5F312401" w14:textId="3D34BEF4" w:rsidR="00397B0E" w:rsidRPr="00397B0E" w:rsidRDefault="00397B0E" w:rsidP="00397B0E">
      <w:pPr>
        <w:ind w:firstLine="708"/>
        <w:rPr>
          <w:color w:val="000000" w:themeColor="text1"/>
        </w:rPr>
      </w:pPr>
      <w:r w:rsidRPr="00397B0E">
        <w:rPr>
          <w:color w:val="000000" w:themeColor="text1"/>
        </w:rPr>
        <w:t>A Análise Envoltória de Dados (DEA) operacionaliza essa comparação de forma não paramétrica, construindo a fronteira eficiente diretamente a partir dos dados de um conjunto de unidades decisórias (</w:t>
      </w:r>
      <w:proofErr w:type="spellStart"/>
      <w:r w:rsidRPr="00397B0E">
        <w:rPr>
          <w:color w:val="000000" w:themeColor="text1"/>
        </w:rPr>
        <w:t>Decision</w:t>
      </w:r>
      <w:proofErr w:type="spellEnd"/>
      <w:r w:rsidRPr="00397B0E">
        <w:rPr>
          <w:color w:val="000000" w:themeColor="text1"/>
        </w:rPr>
        <w:t xml:space="preserve"> Making </w:t>
      </w:r>
      <w:proofErr w:type="spellStart"/>
      <w:r w:rsidRPr="00397B0E">
        <w:rPr>
          <w:color w:val="000000" w:themeColor="text1"/>
        </w:rPr>
        <w:t>Units</w:t>
      </w:r>
      <w:proofErr w:type="spellEnd"/>
      <w:r w:rsidRPr="00397B0E">
        <w:rPr>
          <w:color w:val="000000" w:themeColor="text1"/>
        </w:rPr>
        <w:t xml:space="preserve"> – </w:t>
      </w:r>
      <w:proofErr w:type="spellStart"/>
      <w:r w:rsidRPr="00397B0E">
        <w:rPr>
          <w:color w:val="000000" w:themeColor="text1"/>
        </w:rPr>
        <w:t>DMUs</w:t>
      </w:r>
      <w:proofErr w:type="spellEnd"/>
      <w:r w:rsidRPr="00397B0E">
        <w:rPr>
          <w:color w:val="000000" w:themeColor="text1"/>
        </w:rPr>
        <w:t xml:space="preserve">) (CHARNES; COOPER; RHODES, 1978). Em termos intuitivos, o DEA “envolve” as observações mais eficientes e, por programação linear, calcula para cada DMU um escore de eficiência relativo a essa casca empírica. Escores iguais a 1 indicam referência de melhor prática; valores abaixo de 1 quantificam o gap até a fronteira. A técnica permite lidar, simultaneamente, com múltiplos insumos e múltiplos produtos, sem impor forma funcional nem preços/sombras exógenos – os pesos são endogenamente escolhidos, sujeito a restrições tecnológicas básicas (concavidade/convexidade e livre </w:t>
      </w:r>
      <w:proofErr w:type="spellStart"/>
      <w:r w:rsidRPr="00397B0E">
        <w:rPr>
          <w:color w:val="000000" w:themeColor="text1"/>
        </w:rPr>
        <w:t>disposabilidade</w:t>
      </w:r>
      <w:proofErr w:type="spellEnd"/>
      <w:r w:rsidRPr="00397B0E">
        <w:rPr>
          <w:color w:val="000000" w:themeColor="text1"/>
        </w:rPr>
        <w:t>).</w:t>
      </w:r>
    </w:p>
    <w:p w14:paraId="3E641BA6" w14:textId="2B8E7B45" w:rsidR="00397B0E" w:rsidRPr="00397B0E" w:rsidRDefault="00397B0E" w:rsidP="00397B0E">
      <w:pPr>
        <w:ind w:firstLine="708"/>
        <w:rPr>
          <w:color w:val="000000" w:themeColor="text1"/>
        </w:rPr>
      </w:pPr>
      <w:r w:rsidRPr="00397B0E">
        <w:rPr>
          <w:color w:val="000000" w:themeColor="text1"/>
        </w:rPr>
        <w:t>Duas decisões conceituais orientam a aplicação do DEA: (i) a orientação do modelo e (</w:t>
      </w:r>
      <w:proofErr w:type="spellStart"/>
      <w:r w:rsidRPr="00397B0E">
        <w:rPr>
          <w:color w:val="000000" w:themeColor="text1"/>
        </w:rPr>
        <w:t>ii</w:t>
      </w:r>
      <w:proofErr w:type="spellEnd"/>
      <w:r w:rsidRPr="00397B0E">
        <w:rPr>
          <w:color w:val="000000" w:themeColor="text1"/>
        </w:rPr>
        <w:t>) a hipótese de retornos de escala. Na orientação, escolhe-se entre reduzir insumos dado o produto (input-</w:t>
      </w:r>
      <w:proofErr w:type="spellStart"/>
      <w:r w:rsidRPr="00397B0E">
        <w:rPr>
          <w:color w:val="000000" w:themeColor="text1"/>
        </w:rPr>
        <w:t>oriented</w:t>
      </w:r>
      <w:proofErr w:type="spellEnd"/>
      <w:r w:rsidRPr="00397B0E">
        <w:rPr>
          <w:color w:val="000000" w:themeColor="text1"/>
        </w:rPr>
        <w:t>) ou expandir produtos dado o insumo (output-</w:t>
      </w:r>
      <w:proofErr w:type="spellStart"/>
      <w:r w:rsidRPr="00397B0E">
        <w:rPr>
          <w:color w:val="000000" w:themeColor="text1"/>
        </w:rPr>
        <w:t>oriented</w:t>
      </w:r>
      <w:proofErr w:type="spellEnd"/>
      <w:r w:rsidRPr="00397B0E">
        <w:rPr>
          <w:color w:val="000000" w:themeColor="text1"/>
        </w:rPr>
        <w:t>). Em políticas públicas com dotação orçamentária/subsídio relativamente dada e foco em maximizar resultados socioeconômicos, a orientação a outputs é a mais coerente: pergunta-se quanto poderiam crescer os outputs (valor adicionado e emprego) para o nível de incentivo observado. Quanto aos retornos de escala, o modelo clássico CCR supõe retornos constantes (CHARNES; COOPER; RHODES, 1978), enquanto o modelo BCC permite retornos variáveis de escala (VRS) (BANKER; CHARNES; COOPER, 1984). Em ambientes com coexistência de plantas de portes muito distintos – como no PIM –, o VRS é preferível, pois separa a eficiência técnica pura de efeitos de escala, evitando penalizar indevidamente unidades fora do porte ótimo.</w:t>
      </w:r>
    </w:p>
    <w:p w14:paraId="1A612853" w14:textId="141BDDBC" w:rsidR="00397B0E" w:rsidRPr="00397B0E" w:rsidRDefault="00397B0E" w:rsidP="00397B0E">
      <w:pPr>
        <w:ind w:firstLine="708"/>
        <w:rPr>
          <w:color w:val="000000" w:themeColor="text1"/>
        </w:rPr>
      </w:pPr>
      <w:r w:rsidRPr="00397B0E">
        <w:rPr>
          <w:color w:val="000000" w:themeColor="text1"/>
        </w:rPr>
        <w:t xml:space="preserve">A interpretação dos resultados do DEA vai além do escore. Para </w:t>
      </w:r>
      <w:proofErr w:type="spellStart"/>
      <w:r w:rsidRPr="00397B0E">
        <w:rPr>
          <w:color w:val="000000" w:themeColor="text1"/>
        </w:rPr>
        <w:t>DMUs</w:t>
      </w:r>
      <w:proofErr w:type="spellEnd"/>
      <w:r w:rsidRPr="00397B0E">
        <w:rPr>
          <w:color w:val="000000" w:themeColor="text1"/>
        </w:rPr>
        <w:t xml:space="preserve"> ineficientes, o método identifica benchmarks (combinações convexas de unidades eficientes) e alvos de melhoria – isto é, a expansão proporcional de outputs (na orientação a outputs) e os ajustes residuais (slacks) específicos por variável necessários para atingir a fronteira. Em avaliações setoriais, isso permite distinguir ineficiências generalizadas </w:t>
      </w:r>
      <w:r w:rsidRPr="00397B0E">
        <w:rPr>
          <w:color w:val="000000" w:themeColor="text1"/>
        </w:rPr>
        <w:lastRenderedPageBreak/>
        <w:t>(baixo desempenho em todos os outputs) de ineficiências específicas (por exemplo, boa geração de valor, mas fraca geração de empregos).</w:t>
      </w:r>
    </w:p>
    <w:p w14:paraId="781DC796" w14:textId="0C163CB5" w:rsidR="00397B0E" w:rsidRPr="00397B0E" w:rsidRDefault="00397B0E" w:rsidP="00397B0E">
      <w:pPr>
        <w:ind w:firstLine="708"/>
        <w:rPr>
          <w:color w:val="000000" w:themeColor="text1"/>
        </w:rPr>
      </w:pPr>
      <w:r w:rsidRPr="00397B0E">
        <w:rPr>
          <w:color w:val="000000" w:themeColor="text1"/>
        </w:rPr>
        <w:t xml:space="preserve">Como todo método não paramétrico, o DEA é sensível a outliers e à heterogeneidade tecnológica. Se unidades com tecnologias muito distintas forem avaliadas num mesmo envelope, a fronteira pode ser “puxada” por poucas observações atípicas, distorcendo a comparação. Esse risco justifica, no nosso desenho, a segmentação prévia por K-means: ao “comparar iguais com iguais”, estimam-se fronteiras mais informativas e justas para cada grupo relativamente homogêneo. Outro cuidado clássico diz respeito a pesos extremos: por construir pesos favoráveis a cada DMU, o DEA pode, em alguns casos, atribuir peso quase nulo a variáveis relevantes. Há soluções possíveis (p. ex., restrições do tipo </w:t>
      </w:r>
      <w:proofErr w:type="spellStart"/>
      <w:r w:rsidRPr="00397B0E">
        <w:rPr>
          <w:color w:val="000000" w:themeColor="text1"/>
        </w:rPr>
        <w:t>assurance</w:t>
      </w:r>
      <w:proofErr w:type="spellEnd"/>
      <w:r w:rsidRPr="00397B0E">
        <w:rPr>
          <w:color w:val="000000" w:themeColor="text1"/>
        </w:rPr>
        <w:t xml:space="preserve"> </w:t>
      </w:r>
      <w:proofErr w:type="spellStart"/>
      <w:r w:rsidRPr="00397B0E">
        <w:rPr>
          <w:color w:val="000000" w:themeColor="text1"/>
        </w:rPr>
        <w:t>region</w:t>
      </w:r>
      <w:proofErr w:type="spellEnd"/>
      <w:r w:rsidRPr="00397B0E">
        <w:rPr>
          <w:color w:val="000000" w:themeColor="text1"/>
        </w:rPr>
        <w:t>), mas, conceitualmente, a mitigação principal aqui virá da escolha adequada de variáveis e da segmentação prévia, deixando ajustes formais – quando necessários – para a Metodologia.</w:t>
      </w:r>
    </w:p>
    <w:p w14:paraId="7FAC8CD2" w14:textId="4C23A333" w:rsidR="00397B0E" w:rsidRPr="00397B0E" w:rsidRDefault="00397B0E" w:rsidP="00397B0E">
      <w:pPr>
        <w:ind w:firstLine="708"/>
        <w:rPr>
          <w:color w:val="000000" w:themeColor="text1"/>
        </w:rPr>
      </w:pPr>
      <w:r w:rsidRPr="00397B0E">
        <w:rPr>
          <w:color w:val="000000" w:themeColor="text1"/>
        </w:rPr>
        <w:t>A dimensão intertemporal da eficiência é capturada por medidas de produtividade total dos fatores baseadas em DEA, com destaque para o Índice de Malmquist. Em termos conceituais, ele compara a posição de uma DMU relativamente à fronteira em dois períodos, permitindo decompor a variação de produtividade em mudança de eficiência técnica (catch-</w:t>
      </w:r>
      <w:proofErr w:type="spellStart"/>
      <w:r w:rsidRPr="00397B0E">
        <w:rPr>
          <w:color w:val="000000" w:themeColor="text1"/>
        </w:rPr>
        <w:t>up</w:t>
      </w:r>
      <w:proofErr w:type="spellEnd"/>
      <w:r w:rsidRPr="00397B0E">
        <w:rPr>
          <w:color w:val="000000" w:themeColor="text1"/>
        </w:rPr>
        <w:t xml:space="preserve"> – aproximação ou afastamento da fronteira) e mudança tecnológica (shift da fronteira entre os períodos) (CAVES; CHRISTENSEN; DIEWERT, 1982; FÄRE et al., 1994). Assim, é possível distinguir ganhos advindos de melhorias internas de gestão/aprendizagem daqueles decorrentes de avanços tecnológicos do setor como um todo – elemento particularmente útil para políticas de longa duração como a ZFM.</w:t>
      </w:r>
    </w:p>
    <w:p w14:paraId="792D8688" w14:textId="36476935" w:rsidR="00DE3815" w:rsidRDefault="00397B0E" w:rsidP="00397B0E">
      <w:pPr>
        <w:ind w:firstLine="708"/>
        <w:rPr>
          <w:color w:val="000000" w:themeColor="text1"/>
        </w:rPr>
      </w:pPr>
      <w:r w:rsidRPr="00397B0E">
        <w:rPr>
          <w:color w:val="000000" w:themeColor="text1"/>
        </w:rPr>
        <w:t>Por fim, a literatura recente recomenda cautela na inferência estatística a partir de escores de DEA, dado seu caráter fronteira/</w:t>
      </w:r>
      <w:proofErr w:type="spellStart"/>
      <w:r w:rsidRPr="00397B0E">
        <w:rPr>
          <w:color w:val="000000" w:themeColor="text1"/>
        </w:rPr>
        <w:t>otimizante</w:t>
      </w:r>
      <w:proofErr w:type="spellEnd"/>
      <w:r w:rsidRPr="00397B0E">
        <w:rPr>
          <w:color w:val="000000" w:themeColor="text1"/>
        </w:rPr>
        <w:t xml:space="preserve">. Estratégias de segunda etapa – como os modelos </w:t>
      </w:r>
      <w:proofErr w:type="spellStart"/>
      <w:r w:rsidRPr="00397B0E">
        <w:rPr>
          <w:color w:val="000000" w:themeColor="text1"/>
        </w:rPr>
        <w:t>two-stage</w:t>
      </w:r>
      <w:proofErr w:type="spellEnd"/>
      <w:r w:rsidRPr="00397B0E">
        <w:rPr>
          <w:color w:val="000000" w:themeColor="text1"/>
        </w:rPr>
        <w:t xml:space="preserve"> com </w:t>
      </w:r>
      <w:proofErr w:type="spellStart"/>
      <w:r w:rsidRPr="00397B0E">
        <w:rPr>
          <w:color w:val="000000" w:themeColor="text1"/>
        </w:rPr>
        <w:t>bootstrap</w:t>
      </w:r>
      <w:proofErr w:type="spellEnd"/>
      <w:r w:rsidRPr="00397B0E">
        <w:rPr>
          <w:color w:val="000000" w:themeColor="text1"/>
        </w:rPr>
        <w:t xml:space="preserve"> para avaliar o papel de covariáveis (SIMAR; WILSON, 2007) – são apropriadas quando se deseja testar hipóteses sobre determinantes da eficiência. No nosso caso, isso se articula à hipótese central do trabalho: o grau de automação (</w:t>
      </w:r>
      <w:proofErr w:type="spellStart"/>
      <w:r w:rsidRPr="00397B0E">
        <w:rPr>
          <w:color w:val="000000" w:themeColor="text1"/>
        </w:rPr>
        <w:t>proxied</w:t>
      </w:r>
      <w:proofErr w:type="spellEnd"/>
      <w:r w:rsidRPr="00397B0E">
        <w:rPr>
          <w:color w:val="000000" w:themeColor="text1"/>
        </w:rPr>
        <w:t xml:space="preserve"> por CAPEX por empregado) teria efeito positivo na eficiência na conversão de incentivos em valor adicionado e negativo na conversão em empregos. Os elementos formais (especificações, estimação e procedimentos de </w:t>
      </w:r>
      <w:proofErr w:type="spellStart"/>
      <w:r w:rsidRPr="00397B0E">
        <w:rPr>
          <w:color w:val="000000" w:themeColor="text1"/>
        </w:rPr>
        <w:t>bootstrap</w:t>
      </w:r>
      <w:proofErr w:type="spellEnd"/>
      <w:r w:rsidRPr="00397B0E">
        <w:rPr>
          <w:color w:val="000000" w:themeColor="text1"/>
        </w:rPr>
        <w:t xml:space="preserve">) serão apresentados no Capítulo </w:t>
      </w:r>
      <w:r w:rsidR="005C1749">
        <w:rPr>
          <w:color w:val="000000" w:themeColor="text1"/>
        </w:rPr>
        <w:t>4</w:t>
      </w:r>
      <w:r w:rsidRPr="00397B0E">
        <w:rPr>
          <w:color w:val="000000" w:themeColor="text1"/>
        </w:rPr>
        <w:t>; aqui, retém-se a intuição: o DEA fornece a métrica comparativa necessária para submeter a hipótese a teste empírico, respeitando a heterogeneidade produtiva do PIM e sua evolução ao longo de 2018–2023.</w:t>
      </w:r>
    </w:p>
    <w:p w14:paraId="70E3A853" w14:textId="77777777" w:rsidR="00DE3815" w:rsidRDefault="00DE3815" w:rsidP="00B14852">
      <w:pPr>
        <w:ind w:firstLine="708"/>
        <w:rPr>
          <w:color w:val="000000" w:themeColor="text1"/>
        </w:rPr>
      </w:pPr>
    </w:p>
    <w:p w14:paraId="0154E0D9" w14:textId="7FFE7ED0" w:rsidR="00397B0E" w:rsidRDefault="00397B0E" w:rsidP="00397B0E">
      <w:pPr>
        <w:pStyle w:val="Ttulo2"/>
      </w:pPr>
      <w:bookmarkStart w:id="9" w:name="_Toc210058161"/>
      <w:r w:rsidRPr="00397B0E">
        <w:lastRenderedPageBreak/>
        <w:t>CLUSTERIZAÇÃO — K-MEANS E SUA UTILIDADE EM SEGMENTAR UNIÃO DE PRODUTORES</w:t>
      </w:r>
      <w:bookmarkEnd w:id="9"/>
    </w:p>
    <w:p w14:paraId="30429443" w14:textId="77777777" w:rsidR="00397B0E" w:rsidRPr="00397B0E" w:rsidRDefault="00397B0E" w:rsidP="00397B0E"/>
    <w:p w14:paraId="5340B66A" w14:textId="0E38C541" w:rsidR="00397B0E" w:rsidRPr="00397B0E" w:rsidRDefault="00397B0E" w:rsidP="00397B0E">
      <w:pPr>
        <w:ind w:firstLine="708"/>
        <w:rPr>
          <w:color w:val="000000" w:themeColor="text1"/>
        </w:rPr>
      </w:pPr>
      <w:r w:rsidRPr="00397B0E">
        <w:rPr>
          <w:color w:val="000000" w:themeColor="text1"/>
        </w:rPr>
        <w:t>A clusterização é um conjunto de técnicas não supervisionadas cujo objetivo é agrupar unidades com perfis semelhantes em grupos internamente coesos e externamente distintos. Para uma “união de produtores” heterogênea como os subsetores do PIM, essa etapa é particularmente útil por organizar a diversidade estrutural (porte, intensidade de capital, escala, uso de insumos importados, esforço de P&amp;D) antes da avaliação de desempenho. Entre os métodos disponíveis, o K-means se destaca pela combinação de simplicidade, transparência e eficiência computacional, mantendo pertinência mesmo após seis décadas de uso (JAIN, 2010).</w:t>
      </w:r>
    </w:p>
    <w:p w14:paraId="2848C6DE" w14:textId="32F40D68" w:rsidR="00397B0E" w:rsidRPr="00397B0E" w:rsidRDefault="00397B0E" w:rsidP="00397B0E">
      <w:pPr>
        <w:ind w:firstLine="708"/>
        <w:rPr>
          <w:color w:val="000000" w:themeColor="text1"/>
        </w:rPr>
      </w:pPr>
      <w:r w:rsidRPr="00397B0E">
        <w:rPr>
          <w:color w:val="000000" w:themeColor="text1"/>
        </w:rPr>
        <w:t xml:space="preserve">Em termos operacionais, o K-means particiona as observações em K grupos minimizando a variância intragrupo. O procedimento alterna dois passos: (i) atribui cada unidade ao </w:t>
      </w:r>
      <w:proofErr w:type="spellStart"/>
      <w:r w:rsidRPr="00397B0E">
        <w:rPr>
          <w:color w:val="000000" w:themeColor="text1"/>
        </w:rPr>
        <w:t>centróide</w:t>
      </w:r>
      <w:proofErr w:type="spellEnd"/>
      <w:r w:rsidRPr="00397B0E">
        <w:rPr>
          <w:color w:val="000000" w:themeColor="text1"/>
        </w:rPr>
        <w:t xml:space="preserve"> mais próximo (tipicamente, distância euclidiana) e (</w:t>
      </w:r>
      <w:proofErr w:type="spellStart"/>
      <w:r w:rsidRPr="00397B0E">
        <w:rPr>
          <w:color w:val="000000" w:themeColor="text1"/>
        </w:rPr>
        <w:t>ii</w:t>
      </w:r>
      <w:proofErr w:type="spellEnd"/>
      <w:r w:rsidRPr="00397B0E">
        <w:rPr>
          <w:color w:val="000000" w:themeColor="text1"/>
        </w:rPr>
        <w:t xml:space="preserve">) recalcula os </w:t>
      </w:r>
      <w:proofErr w:type="spellStart"/>
      <w:r w:rsidRPr="00397B0E">
        <w:rPr>
          <w:color w:val="000000" w:themeColor="text1"/>
        </w:rPr>
        <w:t>centróides</w:t>
      </w:r>
      <w:proofErr w:type="spellEnd"/>
      <w:r w:rsidRPr="00397B0E">
        <w:rPr>
          <w:color w:val="000000" w:themeColor="text1"/>
        </w:rPr>
        <w:t xml:space="preserve"> como a média das unidades alocadas a cada cluster, repetindo até a convergência. A solução obtida é local, razão pela qual inicializações adequadas (por exemplo, k-means++) e múltiplas sementes são recomendadas para reduzir a dependência do ponto de partida (ARTHUR; VASSILVITSKII, 2007). Do ponto de vista substantivo, o </w:t>
      </w:r>
      <w:proofErr w:type="spellStart"/>
      <w:r w:rsidRPr="00397B0E">
        <w:rPr>
          <w:color w:val="000000" w:themeColor="text1"/>
        </w:rPr>
        <w:t>centróide</w:t>
      </w:r>
      <w:proofErr w:type="spellEnd"/>
      <w:r w:rsidRPr="00397B0E">
        <w:rPr>
          <w:color w:val="000000" w:themeColor="text1"/>
        </w:rPr>
        <w:t xml:space="preserve"> resume o “perfil médio” de cada grupo e facilita a perfilação posterior (porte típico, intensidade de capital, esforço de P&amp;D, participação nos incentivos, produtividade média etc.).</w:t>
      </w:r>
    </w:p>
    <w:p w14:paraId="02A63A80" w14:textId="103F7D4D" w:rsidR="003B6EBC" w:rsidRPr="003B6EBC" w:rsidRDefault="003B6EBC" w:rsidP="003B6EBC">
      <w:pPr>
        <w:ind w:firstLine="708"/>
        <w:rPr>
          <w:color w:val="000000" w:themeColor="text1"/>
        </w:rPr>
      </w:pPr>
      <w:r w:rsidRPr="003B6EBC">
        <w:rPr>
          <w:color w:val="000000" w:themeColor="text1"/>
        </w:rPr>
        <w:t xml:space="preserve">Do ponto de vista substantivo, a seleção de variáveis deve ser </w:t>
      </w:r>
      <w:proofErr w:type="spellStart"/>
      <w:r w:rsidRPr="003B6EBC">
        <w:rPr>
          <w:color w:val="000000" w:themeColor="text1"/>
        </w:rPr>
        <w:t>ex-ante</w:t>
      </w:r>
      <w:proofErr w:type="spellEnd"/>
      <w:r w:rsidRPr="003B6EBC">
        <w:rPr>
          <w:color w:val="000000" w:themeColor="text1"/>
        </w:rPr>
        <w:t xml:space="preserve"> e refletir traços relativamente estáveis da tecnologia e do modelo de negócio: escala (p. ex., VA), automação (CAPEX/emprego), intensidade de trabalho (emprego/VA), exposição a incentivos (subsídio/VA) e P&amp;D quando disponível. Evita-se vazamento de informação: variáveis que serão outputs da eficiência (p. ex., escores de DEA) não entram na segmentação. A escolha de K combina heurísticas consagradas — cotovelo, índice de </w:t>
      </w:r>
      <w:proofErr w:type="spellStart"/>
      <w:r w:rsidRPr="003B6EBC">
        <w:rPr>
          <w:color w:val="000000" w:themeColor="text1"/>
        </w:rPr>
        <w:t>silhouette</w:t>
      </w:r>
      <w:proofErr w:type="spellEnd"/>
      <w:r w:rsidRPr="003B6EBC">
        <w:rPr>
          <w:color w:val="000000" w:themeColor="text1"/>
        </w:rPr>
        <w:t xml:space="preserve"> e estatística gap — com </w:t>
      </w:r>
      <w:proofErr w:type="spellStart"/>
      <w:r w:rsidRPr="003B6EBC">
        <w:rPr>
          <w:color w:val="000000" w:themeColor="text1"/>
        </w:rPr>
        <w:t>interpretabilidade</w:t>
      </w:r>
      <w:proofErr w:type="spellEnd"/>
      <w:r w:rsidRPr="003B6EBC">
        <w:rPr>
          <w:color w:val="000000" w:themeColor="text1"/>
        </w:rPr>
        <w:t xml:space="preserve"> econômica e tamanho mínimo por grupo (ROUSSEEUW, 1987; TIBSHIRANI; WALTHER; HASTIE, 2001). Procedimentos de padronização de escala e tratamentos para assimetria ou outliers, assim como checagens de estabilidade da partição, serão detalhados na Metodologia.</w:t>
      </w:r>
    </w:p>
    <w:p w14:paraId="44D02C01" w14:textId="6EB6BAD4" w:rsidR="003B6EBC" w:rsidRPr="003B6EBC" w:rsidRDefault="003B6EBC" w:rsidP="003B6EBC">
      <w:pPr>
        <w:ind w:firstLine="708"/>
        <w:rPr>
          <w:color w:val="000000" w:themeColor="text1"/>
        </w:rPr>
      </w:pPr>
      <w:r w:rsidRPr="003B6EBC">
        <w:rPr>
          <w:color w:val="000000" w:themeColor="text1"/>
        </w:rPr>
        <w:t xml:space="preserve">A utilidade da clusterização neste estudo é dupla. Analiticamente, reduz a heterogeneidade tecnológica antes de estimar a eficiência, evitando que poucos setores de tecnologia muito distinta inflem a fronteira e distorçam comparações. </w:t>
      </w:r>
      <w:r w:rsidRPr="003B6EBC">
        <w:rPr>
          <w:color w:val="000000" w:themeColor="text1"/>
        </w:rPr>
        <w:lastRenderedPageBreak/>
        <w:t>Substantivamente, entrega um mapa de segmentos do PIM que orienta a leitura de resultados e potenciais recomendações (por exemplo, calibragem de contrapartidas de P&amp;D onde o perfil é intensivo em trabalho; exigências de encadeamentos locais onde a automação é elevada). Em síntese, o K-means não substitui a mensuração de eficiência; ele estrutura o universo a ser comparado, aumentando a justiça e a precisão das inferências que virão do DEA e, adiante, da dinâmica via Malmquist.</w:t>
      </w:r>
    </w:p>
    <w:p w14:paraId="67D15076" w14:textId="0134F038" w:rsidR="00DE3815" w:rsidRDefault="003B6EBC" w:rsidP="003B6EBC">
      <w:pPr>
        <w:ind w:firstLine="708"/>
        <w:rPr>
          <w:color w:val="000000" w:themeColor="text1"/>
        </w:rPr>
      </w:pPr>
      <w:r w:rsidRPr="003B6EBC">
        <w:rPr>
          <w:color w:val="000000" w:themeColor="text1"/>
        </w:rPr>
        <w:t xml:space="preserve">Por fim, cabe lembrar limitações: o K-means assume, em geral, clusters aproximadamente esféricos e de volumes semelhantes; quando tais hipóteses são violadas, a separação pode se deteriorar. Ainda assim, pela parcimônia e </w:t>
      </w:r>
      <w:proofErr w:type="spellStart"/>
      <w:r w:rsidRPr="003B6EBC">
        <w:rPr>
          <w:color w:val="000000" w:themeColor="text1"/>
        </w:rPr>
        <w:t>interpretabilidade</w:t>
      </w:r>
      <w:proofErr w:type="spellEnd"/>
      <w:r w:rsidRPr="003B6EBC">
        <w:rPr>
          <w:color w:val="000000" w:themeColor="text1"/>
        </w:rPr>
        <w:t>, o método é apropriado para segmentar os produtores do PIM e preparar terreno para a avaliação de eficiência dentro de grupos comparáveis.</w:t>
      </w:r>
    </w:p>
    <w:p w14:paraId="4E24D961" w14:textId="77777777" w:rsidR="003B6EBC" w:rsidRDefault="003B6EBC" w:rsidP="003B6EBC">
      <w:pPr>
        <w:ind w:firstLine="708"/>
        <w:rPr>
          <w:color w:val="000000" w:themeColor="text1"/>
        </w:rPr>
      </w:pPr>
    </w:p>
    <w:p w14:paraId="5466F594" w14:textId="577B7548" w:rsidR="00397B0E" w:rsidRDefault="00397B0E" w:rsidP="00397B0E">
      <w:pPr>
        <w:pStyle w:val="Ttulo2"/>
      </w:pPr>
      <w:bookmarkStart w:id="10" w:name="_Toc210058162"/>
      <w:r w:rsidRPr="00397B0E">
        <w:t>INTERAÇÃO ENTRE SEGMENTAÇÃO E ANÁLISE DE EFICIÊNCIA</w:t>
      </w:r>
      <w:bookmarkEnd w:id="10"/>
    </w:p>
    <w:p w14:paraId="0CE820BC" w14:textId="77777777" w:rsidR="00397B0E" w:rsidRPr="00397B0E" w:rsidRDefault="00397B0E" w:rsidP="00397B0E"/>
    <w:p w14:paraId="27DA6277" w14:textId="77777777" w:rsidR="006D562E" w:rsidRDefault="00E84336" w:rsidP="006D562E">
      <w:pPr>
        <w:ind w:firstLine="708"/>
        <w:rPr>
          <w:color w:val="000000" w:themeColor="text1"/>
        </w:rPr>
      </w:pPr>
      <w:r w:rsidRPr="00E84336">
        <w:rPr>
          <w:color w:val="000000" w:themeColor="text1"/>
        </w:rPr>
        <w:t>Segmentação e mensuração de eficiência são peças que se reforçam mutuamente. A clusterização organiza a heterogeneidade tecnológica/escala, gerando grupos comparáveis; o DEA, por sua vez, mede quão bem cada unidade transforma insumos em resultados dentro desses grupos. Em contextos como o PIM — onde coexistem plantas intensivas em trabalho e fábricas altamente automatizadas — essa integração evita que a fronteira seja “puxada” por poucos casos extremos e que a comparação “em bloco” penalize indevidamente segmentos tradicionais.</w:t>
      </w:r>
      <w:r w:rsidR="006D562E">
        <w:rPr>
          <w:color w:val="000000" w:themeColor="text1"/>
        </w:rPr>
        <w:t xml:space="preserve"> </w:t>
      </w:r>
    </w:p>
    <w:p w14:paraId="4421C927" w14:textId="77777777" w:rsidR="006D562E" w:rsidRDefault="006D562E" w:rsidP="006D562E">
      <w:pPr>
        <w:ind w:firstLine="708"/>
        <w:rPr>
          <w:color w:val="000000" w:themeColor="text1"/>
        </w:rPr>
      </w:pPr>
    </w:p>
    <w:p w14:paraId="1202FC60" w14:textId="0E007F56" w:rsidR="006D562E" w:rsidRPr="00E84336" w:rsidRDefault="00E84336" w:rsidP="006D562E">
      <w:pPr>
        <w:ind w:firstLine="708"/>
        <w:rPr>
          <w:color w:val="000000" w:themeColor="text1"/>
        </w:rPr>
      </w:pPr>
      <w:r w:rsidRPr="00E84336">
        <w:rPr>
          <w:color w:val="000000" w:themeColor="text1"/>
        </w:rPr>
        <w:t>Há duas arquiteturas consagradas na literatura:</w:t>
      </w:r>
    </w:p>
    <w:p w14:paraId="21B6E1FF" w14:textId="14A84B94" w:rsidR="00E84336" w:rsidRPr="00E84336" w:rsidRDefault="00E72418" w:rsidP="00E84336">
      <w:pPr>
        <w:pStyle w:val="PargrafodaLista"/>
        <w:numPr>
          <w:ilvl w:val="0"/>
          <w:numId w:val="17"/>
        </w:numPr>
        <w:rPr>
          <w:color w:val="000000" w:themeColor="text1"/>
        </w:rPr>
      </w:pPr>
      <w:r>
        <w:rPr>
          <w:color w:val="000000" w:themeColor="text1"/>
        </w:rPr>
        <w:t>C</w:t>
      </w:r>
      <w:r w:rsidR="00E84336" w:rsidRPr="00E84336">
        <w:rPr>
          <w:color w:val="000000" w:themeColor="text1"/>
        </w:rPr>
        <w:t xml:space="preserve">luster → DEA: formar clusters por características produtivas </w:t>
      </w:r>
      <w:proofErr w:type="spellStart"/>
      <w:r w:rsidR="00E84336" w:rsidRPr="00E84336">
        <w:rPr>
          <w:color w:val="000000" w:themeColor="text1"/>
        </w:rPr>
        <w:t>ex-ante</w:t>
      </w:r>
      <w:proofErr w:type="spellEnd"/>
      <w:r w:rsidR="00E84336" w:rsidRPr="00E84336">
        <w:rPr>
          <w:color w:val="000000" w:themeColor="text1"/>
        </w:rPr>
        <w:t xml:space="preserve"> (escala, intensidade de capital, exposição a incentivos, esforço de P&amp;</w:t>
      </w:r>
      <w:proofErr w:type="gramStart"/>
      <w:r w:rsidR="00E84336" w:rsidRPr="00E84336">
        <w:rPr>
          <w:color w:val="000000" w:themeColor="text1"/>
        </w:rPr>
        <w:t>D, etc.</w:t>
      </w:r>
      <w:proofErr w:type="gramEnd"/>
      <w:r w:rsidR="00E84336" w:rsidRPr="00E84336">
        <w:rPr>
          <w:color w:val="000000" w:themeColor="text1"/>
        </w:rPr>
        <w:t>) e, só então, estimar a eficiência em cada grupo;</w:t>
      </w:r>
    </w:p>
    <w:p w14:paraId="57E0AE1D" w14:textId="0B49EF1E" w:rsidR="006D562E" w:rsidRDefault="00E84336" w:rsidP="006D562E">
      <w:pPr>
        <w:pStyle w:val="PargrafodaLista"/>
        <w:numPr>
          <w:ilvl w:val="0"/>
          <w:numId w:val="17"/>
        </w:numPr>
        <w:rPr>
          <w:color w:val="000000" w:themeColor="text1"/>
        </w:rPr>
      </w:pPr>
      <w:r w:rsidRPr="00E84336">
        <w:rPr>
          <w:color w:val="000000" w:themeColor="text1"/>
        </w:rPr>
        <w:t xml:space="preserve">DEA → </w:t>
      </w:r>
      <w:r w:rsidR="00E72418">
        <w:rPr>
          <w:color w:val="000000" w:themeColor="text1"/>
        </w:rPr>
        <w:t>C</w:t>
      </w:r>
      <w:r w:rsidRPr="00E84336">
        <w:rPr>
          <w:color w:val="000000" w:themeColor="text1"/>
        </w:rPr>
        <w:t>luster: primeiro estimar escores e folgas; depois, agrupar para identificar padrões de (in)eficiência.</w:t>
      </w:r>
    </w:p>
    <w:p w14:paraId="66A26C9B" w14:textId="77777777" w:rsidR="006D562E" w:rsidRPr="006D562E" w:rsidRDefault="006D562E" w:rsidP="006D562E">
      <w:pPr>
        <w:pStyle w:val="PargrafodaLista"/>
        <w:ind w:left="1428"/>
        <w:rPr>
          <w:color w:val="000000" w:themeColor="text1"/>
        </w:rPr>
      </w:pPr>
    </w:p>
    <w:p w14:paraId="73416B2A" w14:textId="002D62CF" w:rsidR="003B6EBC" w:rsidRPr="00E84336" w:rsidRDefault="00E84336" w:rsidP="006D562E">
      <w:pPr>
        <w:ind w:firstLine="708"/>
        <w:rPr>
          <w:color w:val="000000" w:themeColor="text1"/>
        </w:rPr>
      </w:pPr>
      <w:r w:rsidRPr="00E84336">
        <w:rPr>
          <w:color w:val="000000" w:themeColor="text1"/>
        </w:rPr>
        <w:t xml:space="preserve">Ambas são defensáveis, mas, para políticas </w:t>
      </w:r>
      <w:proofErr w:type="spellStart"/>
      <w:r w:rsidRPr="00E84336">
        <w:rPr>
          <w:color w:val="000000" w:themeColor="text1"/>
        </w:rPr>
        <w:t>place-based</w:t>
      </w:r>
      <w:proofErr w:type="spellEnd"/>
      <w:r w:rsidRPr="00E84336">
        <w:rPr>
          <w:color w:val="000000" w:themeColor="text1"/>
        </w:rPr>
        <w:t>, a via cluster → DEA tende a produzir fronteiras mais informativas e justas, porque respeita a diversidade de tecnologias e portes antes da avaliação (LEMOS; LINS; EBECKEN, 2005; SAMOILENKO; OSEI-BRYCE, 2013).</w:t>
      </w:r>
      <w:r w:rsidR="003B6EBC">
        <w:rPr>
          <w:color w:val="000000" w:themeColor="text1"/>
        </w:rPr>
        <w:t xml:space="preserve"> </w:t>
      </w:r>
      <w:r w:rsidRPr="00E84336">
        <w:rPr>
          <w:color w:val="000000" w:themeColor="text1"/>
        </w:rPr>
        <w:t>Três cuidados asseguram a validade dessa convergência:</w:t>
      </w:r>
    </w:p>
    <w:p w14:paraId="762C3B2E" w14:textId="1B711674" w:rsidR="00E84336" w:rsidRPr="00E84336" w:rsidRDefault="00E84336" w:rsidP="00E84336">
      <w:pPr>
        <w:pStyle w:val="PargrafodaLista"/>
        <w:numPr>
          <w:ilvl w:val="0"/>
          <w:numId w:val="18"/>
        </w:numPr>
        <w:rPr>
          <w:color w:val="000000" w:themeColor="text1"/>
        </w:rPr>
      </w:pPr>
      <w:r w:rsidRPr="00E84336">
        <w:rPr>
          <w:color w:val="000000" w:themeColor="text1"/>
        </w:rPr>
        <w:lastRenderedPageBreak/>
        <w:t>Escolha de variáveis sem “vazamento”: a segmentação deve usar traços estruturais (perfil tecnológico, escala, CAPEX/emprego, intensidade de insumos importados, subsídio/VA), evitando incluir, na clusterização, o próprio resultado que será avaliado (p. ex., escore de eficiência). Assim, comparamos “iguais com iguais” por tecnologia/porte, não por performance já medida.</w:t>
      </w:r>
    </w:p>
    <w:p w14:paraId="59F5907A" w14:textId="5961320E" w:rsidR="00E84336" w:rsidRPr="00E84336" w:rsidRDefault="00E84336" w:rsidP="00E84336">
      <w:pPr>
        <w:pStyle w:val="PargrafodaLista"/>
        <w:numPr>
          <w:ilvl w:val="0"/>
          <w:numId w:val="18"/>
        </w:numPr>
        <w:rPr>
          <w:color w:val="000000" w:themeColor="text1"/>
        </w:rPr>
      </w:pPr>
      <w:r w:rsidRPr="00E84336">
        <w:rPr>
          <w:color w:val="000000" w:themeColor="text1"/>
        </w:rPr>
        <w:t xml:space="preserve">Tamanho e discriminação: clusters muito pequenos empobrecem a capacidade discriminante do DEA. Em termos práticos, cada grupo precisa de número suficiente de </w:t>
      </w:r>
      <w:proofErr w:type="spellStart"/>
      <w:r w:rsidRPr="00E84336">
        <w:rPr>
          <w:color w:val="000000" w:themeColor="text1"/>
        </w:rPr>
        <w:t>DMUs</w:t>
      </w:r>
      <w:proofErr w:type="spellEnd"/>
      <w:r w:rsidRPr="00E84336">
        <w:rPr>
          <w:color w:val="000000" w:themeColor="text1"/>
        </w:rPr>
        <w:t xml:space="preserve"> frente ao total de variáveis usadas</w:t>
      </w:r>
      <w:r w:rsidR="003847D2">
        <w:rPr>
          <w:color w:val="000000" w:themeColor="text1"/>
        </w:rPr>
        <w:t>.</w:t>
      </w:r>
    </w:p>
    <w:p w14:paraId="2731B763" w14:textId="5D621C6A" w:rsidR="001609AF" w:rsidRDefault="00E84336" w:rsidP="003B6EBC">
      <w:pPr>
        <w:pStyle w:val="PargrafodaLista"/>
        <w:numPr>
          <w:ilvl w:val="0"/>
          <w:numId w:val="18"/>
        </w:numPr>
        <w:rPr>
          <w:color w:val="000000" w:themeColor="text1"/>
        </w:rPr>
      </w:pPr>
      <w:r w:rsidRPr="00E84336">
        <w:rPr>
          <w:color w:val="000000" w:themeColor="text1"/>
        </w:rPr>
        <w:t xml:space="preserve">Comparabilidade entre clusters: escores de DEA não são diretamente comparáveis quando estimados em fronteiras distintas. Para análises entre grupos, a literatura oferece o arcabouço de </w:t>
      </w:r>
      <w:proofErr w:type="spellStart"/>
      <w:r w:rsidRPr="00E84336">
        <w:rPr>
          <w:color w:val="000000" w:themeColor="text1"/>
        </w:rPr>
        <w:t>metafronteira</w:t>
      </w:r>
      <w:proofErr w:type="spellEnd"/>
      <w:r w:rsidRPr="00E84336">
        <w:rPr>
          <w:color w:val="000000" w:themeColor="text1"/>
        </w:rPr>
        <w:t xml:space="preserve"> e do </w:t>
      </w:r>
      <w:proofErr w:type="spellStart"/>
      <w:r w:rsidRPr="00E84336">
        <w:rPr>
          <w:color w:val="000000" w:themeColor="text1"/>
        </w:rPr>
        <w:t>technology</w:t>
      </w:r>
      <w:proofErr w:type="spellEnd"/>
      <w:r w:rsidRPr="00E84336">
        <w:rPr>
          <w:color w:val="000000" w:themeColor="text1"/>
        </w:rPr>
        <w:t xml:space="preserve">-gap </w:t>
      </w:r>
      <w:proofErr w:type="spellStart"/>
      <w:r w:rsidRPr="00E84336">
        <w:rPr>
          <w:color w:val="000000" w:themeColor="text1"/>
        </w:rPr>
        <w:t>ratio</w:t>
      </w:r>
      <w:proofErr w:type="spellEnd"/>
      <w:r w:rsidRPr="00E84336">
        <w:rPr>
          <w:color w:val="000000" w:themeColor="text1"/>
        </w:rPr>
        <w:t xml:space="preserve"> (TGR): uma fronteira “global” (ou metafronteira) envolve as tecnologias de todos os clusters; a razão entre a eficiência relativa ao grupo e a eficiência relativa à metafronteira informa o “gap tecnológico” de cada cluster (BATTESE; RAO; O’DONNELL, 2004; O’DONNELL; RAO; BATTESE, 2008). Conceitualmente, isso permite afirmar, por exemplo, que um cluster B é eficiente no seu conjunto tecnológico, mas opera atrás da fronteira global definida por um cluster A mais avançado.</w:t>
      </w:r>
    </w:p>
    <w:p w14:paraId="5E23649F" w14:textId="77777777" w:rsidR="003B6EBC" w:rsidRPr="003B6EBC" w:rsidRDefault="003B6EBC" w:rsidP="003B6EBC">
      <w:pPr>
        <w:rPr>
          <w:color w:val="000000" w:themeColor="text1"/>
        </w:rPr>
      </w:pPr>
    </w:p>
    <w:p w14:paraId="12D5DF2F" w14:textId="46F8221D" w:rsidR="003B6EBC" w:rsidRPr="00E84336" w:rsidRDefault="00E84336" w:rsidP="003B6EBC">
      <w:pPr>
        <w:ind w:firstLine="708"/>
        <w:rPr>
          <w:color w:val="000000" w:themeColor="text1"/>
        </w:rPr>
      </w:pPr>
      <w:r w:rsidRPr="00E84336">
        <w:rPr>
          <w:color w:val="000000" w:themeColor="text1"/>
        </w:rPr>
        <w:t>No nosso desenho, a interação entre as técnicas produz um encadeamento lógico:</w:t>
      </w:r>
    </w:p>
    <w:p w14:paraId="07B4E5E8" w14:textId="105AE6D4" w:rsidR="00E84336" w:rsidRPr="00E84336" w:rsidRDefault="00E84336" w:rsidP="00E84336">
      <w:pPr>
        <w:pStyle w:val="PargrafodaLista"/>
        <w:numPr>
          <w:ilvl w:val="0"/>
          <w:numId w:val="19"/>
        </w:numPr>
        <w:rPr>
          <w:color w:val="000000" w:themeColor="text1"/>
        </w:rPr>
      </w:pPr>
      <w:r w:rsidRPr="00E84336">
        <w:rPr>
          <w:color w:val="000000" w:themeColor="text1"/>
        </w:rPr>
        <w:t xml:space="preserve">Segmentação (K-means): </w:t>
      </w:r>
      <w:r w:rsidR="003847D2" w:rsidRPr="003847D2">
        <w:rPr>
          <w:color w:val="000000" w:themeColor="text1"/>
        </w:rPr>
        <w:t>para “comparar iguais com iguais”</w:t>
      </w:r>
      <w:r w:rsidR="003847D2">
        <w:rPr>
          <w:color w:val="000000" w:themeColor="text1"/>
        </w:rPr>
        <w:t>.</w:t>
      </w:r>
    </w:p>
    <w:p w14:paraId="7EB77D2A" w14:textId="0A560F90" w:rsidR="00E84336" w:rsidRPr="00E84336" w:rsidRDefault="00E84336" w:rsidP="00E84336">
      <w:pPr>
        <w:pStyle w:val="PargrafodaLista"/>
        <w:numPr>
          <w:ilvl w:val="0"/>
          <w:numId w:val="19"/>
        </w:numPr>
        <w:rPr>
          <w:color w:val="000000" w:themeColor="text1"/>
        </w:rPr>
      </w:pPr>
      <w:r w:rsidRPr="00E84336">
        <w:rPr>
          <w:color w:val="000000" w:themeColor="text1"/>
        </w:rPr>
        <w:t>Eficiência dentro do cluster (DEA-VRS, orientação a outputs): estimar, para cada grupo, quão eficientemente os incentivos são convertidos em valor adicionado e empregos</w:t>
      </w:r>
      <w:r w:rsidR="003847D2">
        <w:rPr>
          <w:color w:val="000000" w:themeColor="text1"/>
        </w:rPr>
        <w:t>.</w:t>
      </w:r>
    </w:p>
    <w:p w14:paraId="0712BF3E" w14:textId="73D307CA" w:rsidR="00E84336" w:rsidRPr="00E84336" w:rsidRDefault="00E84336" w:rsidP="00E84336">
      <w:pPr>
        <w:pStyle w:val="PargrafodaLista"/>
        <w:numPr>
          <w:ilvl w:val="0"/>
          <w:numId w:val="19"/>
        </w:numPr>
        <w:rPr>
          <w:color w:val="000000" w:themeColor="text1"/>
        </w:rPr>
      </w:pPr>
      <w:r w:rsidRPr="00E84336">
        <w:rPr>
          <w:color w:val="000000" w:themeColor="text1"/>
        </w:rPr>
        <w:t>Dinâmica (Índice de Malmquist): acompanhar 2018–2023, decompondo variações em catch-</w:t>
      </w:r>
      <w:proofErr w:type="spellStart"/>
      <w:r w:rsidRPr="00E84336">
        <w:rPr>
          <w:color w:val="000000" w:themeColor="text1"/>
        </w:rPr>
        <w:t>up</w:t>
      </w:r>
      <w:proofErr w:type="spellEnd"/>
      <w:r w:rsidRPr="00E84336">
        <w:rPr>
          <w:color w:val="000000" w:themeColor="text1"/>
        </w:rPr>
        <w:t xml:space="preserve"> (</w:t>
      </w:r>
      <w:r w:rsidR="003847D2">
        <w:rPr>
          <w:color w:val="000000" w:themeColor="text1"/>
        </w:rPr>
        <w:t>eficiência técnica</w:t>
      </w:r>
      <w:r w:rsidRPr="00E84336">
        <w:rPr>
          <w:color w:val="000000" w:themeColor="text1"/>
        </w:rPr>
        <w:t>) e shift tecnológico</w:t>
      </w:r>
      <w:r w:rsidR="003847D2">
        <w:rPr>
          <w:color w:val="000000" w:themeColor="text1"/>
        </w:rPr>
        <w:t>.</w:t>
      </w:r>
    </w:p>
    <w:p w14:paraId="1914CA39" w14:textId="4D969A43" w:rsidR="00E84336" w:rsidRPr="00E84336" w:rsidRDefault="003847D2" w:rsidP="00E84336">
      <w:pPr>
        <w:pStyle w:val="PargrafodaLista"/>
        <w:numPr>
          <w:ilvl w:val="0"/>
          <w:numId w:val="19"/>
        </w:numPr>
        <w:rPr>
          <w:color w:val="000000" w:themeColor="text1"/>
        </w:rPr>
      </w:pPr>
      <w:r>
        <w:rPr>
          <w:color w:val="000000" w:themeColor="text1"/>
        </w:rPr>
        <w:t>Leitura</w:t>
      </w:r>
      <w:r w:rsidR="00E84336" w:rsidRPr="00E84336">
        <w:rPr>
          <w:color w:val="000000" w:themeColor="text1"/>
        </w:rPr>
        <w:t xml:space="preserve"> entre grupos (metafronteira/TGR): recorrer ao conceito de metafronteira para </w:t>
      </w:r>
      <w:r w:rsidRPr="003847D2">
        <w:rPr>
          <w:color w:val="000000" w:themeColor="text1"/>
        </w:rPr>
        <w:t>comparar clusters entre si,</w:t>
      </w:r>
    </w:p>
    <w:p w14:paraId="2EF4AAF1" w14:textId="434E2787" w:rsidR="003B6EBC" w:rsidRDefault="00E84336" w:rsidP="003B6EBC">
      <w:pPr>
        <w:pStyle w:val="PargrafodaLista"/>
        <w:numPr>
          <w:ilvl w:val="0"/>
          <w:numId w:val="19"/>
        </w:numPr>
        <w:rPr>
          <w:color w:val="000000" w:themeColor="text1"/>
        </w:rPr>
      </w:pPr>
      <w:r w:rsidRPr="00E84336">
        <w:rPr>
          <w:color w:val="000000" w:themeColor="text1"/>
        </w:rPr>
        <w:t>Determinantes (segunda etapa): testar, com procedimentos adequados de inferência (p. ex., Simar-Wilson), se automação (CAPEX/emprego) e outros fatores explicam os escores — diretamente (nível) e na dinâmica (variações de eficiência).</w:t>
      </w:r>
    </w:p>
    <w:p w14:paraId="024FDE6B" w14:textId="77777777" w:rsidR="003B6EBC" w:rsidRPr="003B6EBC" w:rsidRDefault="003B6EBC" w:rsidP="003B6EBC">
      <w:pPr>
        <w:pStyle w:val="PargrafodaLista"/>
        <w:ind w:left="1428"/>
        <w:rPr>
          <w:color w:val="000000" w:themeColor="text1"/>
        </w:rPr>
      </w:pPr>
    </w:p>
    <w:p w14:paraId="5311E41F" w14:textId="77777777" w:rsidR="003847D2" w:rsidRDefault="003847D2" w:rsidP="00E84336">
      <w:pPr>
        <w:ind w:firstLine="708"/>
        <w:rPr>
          <w:color w:val="000000" w:themeColor="text1"/>
        </w:rPr>
      </w:pPr>
      <w:r>
        <w:rPr>
          <w:color w:val="000000" w:themeColor="text1"/>
        </w:rPr>
        <w:lastRenderedPageBreak/>
        <w:t>Es</w:t>
      </w:r>
      <w:r w:rsidRPr="003847D2">
        <w:rPr>
          <w:color w:val="000000" w:themeColor="text1"/>
        </w:rPr>
        <w:t>sa convergência gera ganhos analíticos e para a política: distingue ineficiências de gestão (baixa eficiência técnica dentro do cluster), escala subótima (efeitos de porte) e lacunas tecnológicas (entre clusters via TGR), mapeando instrumentos distintos — boas práticas/gestão, revisão de porte e política tecnológica/encadeamentos.</w:t>
      </w:r>
    </w:p>
    <w:p w14:paraId="5906407D" w14:textId="7AC783A2" w:rsidR="00DE3815" w:rsidRDefault="00E84336" w:rsidP="00E84336">
      <w:pPr>
        <w:ind w:firstLine="708"/>
        <w:rPr>
          <w:color w:val="000000" w:themeColor="text1"/>
        </w:rPr>
      </w:pPr>
      <w:r w:rsidRPr="00E84336">
        <w:rPr>
          <w:color w:val="000000" w:themeColor="text1"/>
        </w:rPr>
        <w:t xml:space="preserve">Por fim, dois limites merecem registro. Primeiro, clusters mal especificados podem mascarar heterogeneidade relevante; por isso, a estabilidade da segmentação será testada por sementes/múltiplas rodadas e, se necessário, por sensibilidades de K. </w:t>
      </w:r>
      <w:proofErr w:type="gramStart"/>
      <w:r w:rsidRPr="00E84336">
        <w:rPr>
          <w:color w:val="000000" w:themeColor="text1"/>
        </w:rPr>
        <w:t>Segundo, o</w:t>
      </w:r>
      <w:proofErr w:type="gramEnd"/>
      <w:r w:rsidRPr="00E84336">
        <w:rPr>
          <w:color w:val="000000" w:themeColor="text1"/>
        </w:rPr>
        <w:t xml:space="preserve"> DEA pode gerar pesos extremos; quando substantivamente indesejável, a literatura admite restrições leves (e.g., </w:t>
      </w:r>
      <w:proofErr w:type="spellStart"/>
      <w:r w:rsidRPr="00E84336">
        <w:rPr>
          <w:color w:val="000000" w:themeColor="text1"/>
        </w:rPr>
        <w:t>assurance</w:t>
      </w:r>
      <w:proofErr w:type="spellEnd"/>
      <w:r w:rsidRPr="00E84336">
        <w:rPr>
          <w:color w:val="000000" w:themeColor="text1"/>
        </w:rPr>
        <w:t xml:space="preserve"> </w:t>
      </w:r>
      <w:proofErr w:type="spellStart"/>
      <w:r w:rsidRPr="00E84336">
        <w:rPr>
          <w:color w:val="000000" w:themeColor="text1"/>
        </w:rPr>
        <w:t>regions</w:t>
      </w:r>
      <w:proofErr w:type="spellEnd"/>
      <w:r w:rsidRPr="00E84336">
        <w:rPr>
          <w:color w:val="000000" w:themeColor="text1"/>
        </w:rPr>
        <w:t>), cujo uso, se necessário, será justificado metodologicamente. Mantidos esses cuidados, a interação K-means → DEA → Malmquist, complementada por metafronteira quando se requer comparação entre grupos, fornece o ponto de convergência teórica adequado ao objetivo deste estudo: avaliar, com justiça e granularidade, quão eficientemente os incentivos da ZFM se transformam em valor adicionado e empregos, e como essa eficiência evolui no tempo.</w:t>
      </w:r>
    </w:p>
    <w:p w14:paraId="4BAC88D3" w14:textId="77777777" w:rsidR="00DE3815" w:rsidRDefault="00DE3815" w:rsidP="00B14852">
      <w:pPr>
        <w:ind w:firstLine="708"/>
        <w:rPr>
          <w:color w:val="000000" w:themeColor="text1"/>
        </w:rPr>
      </w:pPr>
    </w:p>
    <w:p w14:paraId="1B2CC7AC" w14:textId="4E603A7D" w:rsidR="00E84336" w:rsidRPr="00397B0E" w:rsidRDefault="00E84336" w:rsidP="00E84336">
      <w:pPr>
        <w:pStyle w:val="Ttulo1"/>
        <w:ind w:left="284" w:hanging="284"/>
      </w:pPr>
      <w:bookmarkStart w:id="11" w:name="_Toc210058163"/>
      <w:r w:rsidRPr="00E84336">
        <w:t>REVISÃO DE LITERATURA</w:t>
      </w:r>
      <w:bookmarkEnd w:id="11"/>
    </w:p>
    <w:p w14:paraId="1FF4E09C" w14:textId="77777777" w:rsidR="00E84336" w:rsidRPr="00397B0E" w:rsidRDefault="00E84336" w:rsidP="00E84336">
      <w:pPr>
        <w:rPr>
          <w:color w:val="000000" w:themeColor="text1"/>
        </w:rPr>
      </w:pPr>
    </w:p>
    <w:p w14:paraId="10599352" w14:textId="3DFF16E4" w:rsidR="00E84336" w:rsidRDefault="00E84336" w:rsidP="00E84336">
      <w:pPr>
        <w:pStyle w:val="Ttulo2"/>
      </w:pPr>
      <w:bookmarkStart w:id="12" w:name="_Toc210058164"/>
      <w:r w:rsidRPr="00E84336">
        <w:t>ESTUDOS DE DEA NO PIM E ZFM (2010–2014, LEI DE INFORMÁTICA)</w:t>
      </w:r>
      <w:bookmarkEnd w:id="12"/>
    </w:p>
    <w:p w14:paraId="577571AD" w14:textId="77777777" w:rsidR="00E84336" w:rsidRPr="00397B0E" w:rsidRDefault="00E84336" w:rsidP="00E84336"/>
    <w:p w14:paraId="2B4449B7" w14:textId="7EB581A2" w:rsidR="00574E39" w:rsidRDefault="00EE272D" w:rsidP="00B14852">
      <w:pPr>
        <w:ind w:firstLine="708"/>
        <w:rPr>
          <w:color w:val="000000" w:themeColor="text1"/>
        </w:rPr>
      </w:pPr>
      <w:r w:rsidRPr="00EE272D">
        <w:rPr>
          <w:color w:val="000000" w:themeColor="text1"/>
        </w:rPr>
        <w:t xml:space="preserve">A aplicação de Análise Envoltória de Dados (DEA) à Zona Franca de Manaus (ZFM) e ao Polo Industrial de Manaus (PIM) no recorte associado à Lei de Informática (com ênfase na janela 2010–2014) é menos numerosa do que a relevância do tema sugeriria, mas </w:t>
      </w:r>
      <w:r>
        <w:rPr>
          <w:color w:val="000000" w:themeColor="text1"/>
        </w:rPr>
        <w:t xml:space="preserve">traz </w:t>
      </w:r>
      <w:r w:rsidRPr="00EE272D">
        <w:rPr>
          <w:color w:val="000000" w:themeColor="text1"/>
        </w:rPr>
        <w:t>à</w:t>
      </w:r>
      <w:r>
        <w:rPr>
          <w:color w:val="000000" w:themeColor="text1"/>
        </w:rPr>
        <w:t xml:space="preserve"> tona</w:t>
      </w:r>
      <w:r w:rsidRPr="00EE272D">
        <w:rPr>
          <w:color w:val="000000" w:themeColor="text1"/>
        </w:rPr>
        <w:t xml:space="preserve"> um fio condutor: quando o DEA mensura eficiência — seja de projetos de P&amp;D (contrapartidas da Lei) seja de subsetores industriais — emergem fortes assimetrias de desempenho e sinais de que avaliações “em bloco” podem ocultar folgas significativas. Essa constatação dialoga diretamente com as escolhas metodológicas deste trabalho (</w:t>
      </w:r>
      <w:proofErr w:type="spellStart"/>
      <w:r w:rsidRPr="00EE272D">
        <w:rPr>
          <w:color w:val="000000" w:themeColor="text1"/>
        </w:rPr>
        <w:t>pré</w:t>
      </w:r>
      <w:proofErr w:type="spellEnd"/>
      <w:r w:rsidRPr="00EE272D">
        <w:rPr>
          <w:color w:val="000000" w:themeColor="text1"/>
        </w:rPr>
        <w:t>-segmentação por K-</w:t>
      </w:r>
      <w:proofErr w:type="spellStart"/>
      <w:r w:rsidRPr="00EE272D">
        <w:rPr>
          <w:color w:val="000000" w:themeColor="text1"/>
        </w:rPr>
        <w:t>means</w:t>
      </w:r>
      <w:proofErr w:type="spellEnd"/>
      <w:r w:rsidRPr="00EE272D">
        <w:rPr>
          <w:color w:val="000000" w:themeColor="text1"/>
        </w:rPr>
        <w:t>; DEA-VRS orientado a outputs; dinâmica via Malmquist).</w:t>
      </w:r>
    </w:p>
    <w:p w14:paraId="661DDC0C" w14:textId="77777777" w:rsidR="006D562E" w:rsidRDefault="006D562E" w:rsidP="00B14852">
      <w:pPr>
        <w:ind w:firstLine="708"/>
        <w:rPr>
          <w:color w:val="000000" w:themeColor="text1"/>
        </w:rPr>
      </w:pPr>
    </w:p>
    <w:p w14:paraId="6C59AF9F" w14:textId="59F2B111" w:rsidR="00574E39" w:rsidRDefault="00574E39" w:rsidP="00574E39">
      <w:pPr>
        <w:pStyle w:val="Ttulo2"/>
        <w:numPr>
          <w:ilvl w:val="2"/>
          <w:numId w:val="9"/>
        </w:numPr>
      </w:pPr>
      <w:bookmarkStart w:id="13" w:name="_Toc210058165"/>
      <w:r w:rsidRPr="00574E39">
        <w:t>DEA E CONTRAPARTIDAS DE P&amp;D NO ÂMBITO DA LEI DE INFORMÁTICA</w:t>
      </w:r>
      <w:bookmarkEnd w:id="13"/>
    </w:p>
    <w:p w14:paraId="47B36863" w14:textId="77777777" w:rsidR="00574E39" w:rsidRPr="00397B0E" w:rsidRDefault="00574E39" w:rsidP="00574E39"/>
    <w:p w14:paraId="26926778" w14:textId="35987B1B" w:rsidR="00574E39" w:rsidRDefault="00EE272D" w:rsidP="00B14852">
      <w:pPr>
        <w:ind w:firstLine="708"/>
      </w:pPr>
      <w:r w:rsidRPr="00EE272D">
        <w:t xml:space="preserve">No eixo da Lei nº 8.387/1991, destaca-se Cavalcante (2017), que trata projetos de P&amp;D como </w:t>
      </w:r>
      <w:proofErr w:type="spellStart"/>
      <w:r w:rsidRPr="00EE272D">
        <w:t>DMUs</w:t>
      </w:r>
      <w:proofErr w:type="spellEnd"/>
      <w:r w:rsidRPr="00EE272D">
        <w:t xml:space="preserve">, compara esforços elegíveis (inputs) a resultados tecnológicos </w:t>
      </w:r>
      <w:r w:rsidRPr="00EE272D">
        <w:lastRenderedPageBreak/>
        <w:t>(outputs) e estima DEA-VRS orientado a insumos. O achado central é de baixa eficiência média, com pequena fração de projetos plenamente eficientes, além de assimetrias entre arranjos de execução (p. ex., internalização vs. execução por terceiros). A implicação é clara: a obrigação de P&amp;D gera gasto elegível, mas resultado tecnológico não é automático — logo, eficiência (e não apenas conformidade) deve ser objeto de avaliação.</w:t>
      </w:r>
      <w:r>
        <w:br/>
      </w:r>
    </w:p>
    <w:p w14:paraId="158EF279" w14:textId="54073589" w:rsidR="00574E39" w:rsidRPr="00397B0E" w:rsidRDefault="00326258" w:rsidP="00574E39">
      <w:pPr>
        <w:pStyle w:val="Ttulo2"/>
        <w:numPr>
          <w:ilvl w:val="2"/>
          <w:numId w:val="9"/>
        </w:numPr>
      </w:pPr>
      <w:bookmarkStart w:id="14" w:name="_Toc210058166"/>
      <w:r w:rsidRPr="00326258">
        <w:t>DEA EM NÍVEL SETORIAL: HETEROGENEIDADE NO PIM</w:t>
      </w:r>
      <w:bookmarkEnd w:id="14"/>
      <w:r>
        <w:br/>
      </w:r>
    </w:p>
    <w:p w14:paraId="63653587" w14:textId="3CC35A01" w:rsidR="00EE272D" w:rsidRDefault="00EE272D" w:rsidP="00EE272D">
      <w:pPr>
        <w:ind w:firstLine="708"/>
      </w:pPr>
      <w:r w:rsidRPr="00EE272D">
        <w:t xml:space="preserve">Em nível setorial, Fernandes; </w:t>
      </w:r>
      <w:proofErr w:type="spellStart"/>
      <w:r w:rsidRPr="00EE272D">
        <w:t>Minori</w:t>
      </w:r>
      <w:proofErr w:type="spellEnd"/>
      <w:r w:rsidRPr="00EE272D">
        <w:t>; Morais (2019) aplicam DEA a subsetores do PIM (2010 e 2014), documentando heterogeneidade pronunciada: alguns segmentos operam próximos à fronteira, outros exibem folgas expressivas. O estudo alerta que tratar o PIM como bloco homogêneo distorce comparações, pois setores de alta automação tendem a “puxar” a fronteira, penalizando artificialmente segmentos intensivos em trabalho. Complementarmente, a dissertação de Morais (2016) já havia empregado DEA para setores do PIM, antecipando a agenda de mensuração setorial e confirmando a dispersão de desempenho como traço estrutural do polo. O corolário metodológico é convergente: estratificar antes de comparar.</w:t>
      </w:r>
    </w:p>
    <w:p w14:paraId="2693EA2D" w14:textId="77777777" w:rsidR="00EE272D" w:rsidRDefault="00EE272D" w:rsidP="00EE272D">
      <w:pPr>
        <w:ind w:firstLine="708"/>
      </w:pPr>
    </w:p>
    <w:p w14:paraId="33AE5771" w14:textId="77777777" w:rsidR="00D16D85" w:rsidRDefault="00D16D85" w:rsidP="00D16D85">
      <w:pPr>
        <w:pStyle w:val="PargrafodaLista"/>
        <w:numPr>
          <w:ilvl w:val="2"/>
          <w:numId w:val="9"/>
        </w:numPr>
        <w:rPr>
          <w:rFonts w:eastAsiaTheme="majorEastAsia" w:cstheme="majorBidi"/>
          <w:szCs w:val="26"/>
        </w:rPr>
      </w:pPr>
      <w:r w:rsidRPr="00326258">
        <w:rPr>
          <w:rFonts w:eastAsiaTheme="majorEastAsia" w:cstheme="majorBidi"/>
          <w:szCs w:val="26"/>
        </w:rPr>
        <w:t>SÉRIE RECENTE COM DEA + MALMQUIST (2018–2022)</w:t>
      </w:r>
    </w:p>
    <w:p w14:paraId="571F4860" w14:textId="15DB2DED" w:rsidR="00326258" w:rsidRPr="00D16D85" w:rsidRDefault="00326258" w:rsidP="00D16D85">
      <w:pPr>
        <w:rPr>
          <w:rFonts w:eastAsiaTheme="majorEastAsia" w:cstheme="majorBidi"/>
          <w:szCs w:val="26"/>
        </w:rPr>
      </w:pPr>
    </w:p>
    <w:p w14:paraId="545091DF" w14:textId="26679EDC" w:rsidR="00574E39" w:rsidRDefault="00EE272D" w:rsidP="00B14852">
      <w:pPr>
        <w:ind w:firstLine="708"/>
      </w:pPr>
      <w:r w:rsidRPr="00EE272D">
        <w:t>Mais recentemente, Gouvêa (2024) combina DEA-VRS orientado a outputs com Índice de Malmquist para subsetores do PIM (2018–2022). Os resultados indicam ineficiências médias no agregado e trajetórias heterogêneas de PTF por subsetor, com choques (como a pandemia) incidindo de forma desigual. A mensagem metodológica é que a dimensão dinâmica agrega poder explicativo ao corte transversal, ao distinguir ganhos por catch-</w:t>
      </w:r>
      <w:proofErr w:type="spellStart"/>
      <w:r w:rsidRPr="00EE272D">
        <w:t>up</w:t>
      </w:r>
      <w:proofErr w:type="spellEnd"/>
      <w:r w:rsidRPr="00EE272D">
        <w:t xml:space="preserve"> (gestão/aprendizado) de ganhos por shift tecnológico (movimento da fronteira).</w:t>
      </w:r>
    </w:p>
    <w:p w14:paraId="50DEA51F" w14:textId="77777777" w:rsidR="00EE272D" w:rsidRDefault="00EE272D" w:rsidP="00B14852">
      <w:pPr>
        <w:ind w:firstLine="708"/>
        <w:rPr>
          <w:color w:val="000000" w:themeColor="text1"/>
        </w:rPr>
      </w:pPr>
    </w:p>
    <w:p w14:paraId="14D8416F" w14:textId="110B8EB6" w:rsidR="00574E39" w:rsidRDefault="00574E39" w:rsidP="00574E39">
      <w:pPr>
        <w:pStyle w:val="Ttulo2"/>
        <w:numPr>
          <w:ilvl w:val="2"/>
          <w:numId w:val="9"/>
        </w:numPr>
      </w:pPr>
      <w:bookmarkStart w:id="15" w:name="_Toc210058167"/>
      <w:r w:rsidRPr="00574E39">
        <w:t>SÍNTESE COMPARATIVA (QUADRO)</w:t>
      </w:r>
      <w:bookmarkEnd w:id="15"/>
    </w:p>
    <w:p w14:paraId="42F2129E" w14:textId="77777777" w:rsidR="00574E39" w:rsidRPr="00574E39" w:rsidRDefault="00574E39" w:rsidP="00574E39"/>
    <w:p w14:paraId="66075068" w14:textId="68345346" w:rsidR="00574E39" w:rsidRDefault="00326258" w:rsidP="007D2D54">
      <w:pPr>
        <w:ind w:firstLine="708"/>
      </w:pPr>
      <w:r w:rsidRPr="00326258">
        <w:t>A Tabela 1 resume as aplicações de DEA ao PIM/ZFM segundo quatro dimensões comparáveis: (i) escopo/</w:t>
      </w:r>
      <w:proofErr w:type="spellStart"/>
      <w:r w:rsidRPr="00326258">
        <w:t>DMUs</w:t>
      </w:r>
      <w:proofErr w:type="spellEnd"/>
      <w:r w:rsidRPr="00326258">
        <w:t xml:space="preserve"> e período; (</w:t>
      </w:r>
      <w:proofErr w:type="spellStart"/>
      <w:r w:rsidRPr="00326258">
        <w:t>ii</w:t>
      </w:r>
      <w:proofErr w:type="spellEnd"/>
      <w:r w:rsidRPr="00326258">
        <w:t>) fonte de dados; (</w:t>
      </w:r>
      <w:proofErr w:type="spellStart"/>
      <w:r w:rsidRPr="00326258">
        <w:t>iii</w:t>
      </w:r>
      <w:proofErr w:type="spellEnd"/>
      <w:r w:rsidRPr="00326258">
        <w:t>) especificação do DEA (retornos de escala e orientação, com indicação de Malmquist quando aplicável); e (</w:t>
      </w:r>
      <w:proofErr w:type="spellStart"/>
      <w:r w:rsidRPr="00326258">
        <w:t>iv</w:t>
      </w:r>
      <w:proofErr w:type="spellEnd"/>
      <w:r w:rsidRPr="00326258">
        <w:t xml:space="preserve">) resultados e limites. Em conjunto, os estudos convergem para três padrões: (a) baixa </w:t>
      </w:r>
      <w:r w:rsidRPr="00326258">
        <w:lastRenderedPageBreak/>
        <w:t>eficiência média em contrapartidas de P&amp;D; (b) heterogeneidade acentuada entre subsetores do PIM; e (c) dinâmica de PTF não uniforme na janela recente. Persistem lacunas relevantes: a ausência de segmentação prévia nos exercícios setoriais clássicos e a escassez de estudos que integrem, num mesmo desenho, K-means → DEA</w:t>
      </w:r>
      <w:r>
        <w:t xml:space="preserve"> </w:t>
      </w:r>
      <w:r w:rsidRPr="00326258">
        <w:t>→ Malmquist</w:t>
      </w:r>
      <w:r w:rsidR="00EE272D">
        <w:t xml:space="preserve">, </w:t>
      </w:r>
      <w:r w:rsidRPr="00326258">
        <w:t>com bases harmonizadas de SUFRAMA, Receita Federal e RAIS.</w:t>
      </w:r>
    </w:p>
    <w:p w14:paraId="67B729B8" w14:textId="77777777" w:rsidR="006D562E" w:rsidRPr="00326258" w:rsidRDefault="006D562E" w:rsidP="007D2D54">
      <w:pPr>
        <w:ind w:firstLine="708"/>
      </w:pPr>
    </w:p>
    <w:tbl>
      <w:tblPr>
        <w:tblStyle w:val="Tabelacomgrade"/>
        <w:tblW w:w="8762" w:type="dxa"/>
        <w:tblInd w:w="-147" w:type="dxa"/>
        <w:tblLayout w:type="fixed"/>
        <w:tblLook w:val="04A0" w:firstRow="1" w:lastRow="0" w:firstColumn="1" w:lastColumn="0" w:noHBand="0" w:noVBand="1"/>
      </w:tblPr>
      <w:tblGrid>
        <w:gridCol w:w="1760"/>
        <w:gridCol w:w="1814"/>
        <w:gridCol w:w="1715"/>
        <w:gridCol w:w="1573"/>
        <w:gridCol w:w="1900"/>
      </w:tblGrid>
      <w:tr w:rsidR="00120567" w14:paraId="2F38DE0E" w14:textId="1730363D" w:rsidTr="00120567">
        <w:trPr>
          <w:trHeight w:val="663"/>
        </w:trPr>
        <w:tc>
          <w:tcPr>
            <w:tcW w:w="1760" w:type="dxa"/>
          </w:tcPr>
          <w:p w14:paraId="62CEE9E4" w14:textId="6261AB06" w:rsidR="007D2D54" w:rsidRPr="00120567" w:rsidRDefault="007D2D54" w:rsidP="00120567">
            <w:pPr>
              <w:jc w:val="center"/>
            </w:pPr>
            <w:r w:rsidRPr="00120567">
              <w:t>Autor(es) / Ano</w:t>
            </w:r>
          </w:p>
        </w:tc>
        <w:tc>
          <w:tcPr>
            <w:tcW w:w="1814" w:type="dxa"/>
          </w:tcPr>
          <w:p w14:paraId="36EFCAB6" w14:textId="471C311F" w:rsidR="007D2D54" w:rsidRPr="00120567" w:rsidRDefault="007D2D54" w:rsidP="00120567">
            <w:pPr>
              <w:jc w:val="center"/>
            </w:pPr>
            <w:r w:rsidRPr="00120567">
              <w:t>Escopo/Período</w:t>
            </w:r>
          </w:p>
        </w:tc>
        <w:tc>
          <w:tcPr>
            <w:tcW w:w="1715" w:type="dxa"/>
          </w:tcPr>
          <w:p w14:paraId="28407DC3" w14:textId="3A0D7B5F" w:rsidR="007D2D54" w:rsidRPr="00120567" w:rsidRDefault="007D2D54" w:rsidP="00120567">
            <w:pPr>
              <w:jc w:val="center"/>
            </w:pPr>
            <w:r w:rsidRPr="00120567">
              <w:t>Fonte de dados</w:t>
            </w:r>
          </w:p>
        </w:tc>
        <w:tc>
          <w:tcPr>
            <w:tcW w:w="1573" w:type="dxa"/>
          </w:tcPr>
          <w:p w14:paraId="4D256CEB" w14:textId="57EAEFBA" w:rsidR="007D2D54" w:rsidRPr="00120567" w:rsidRDefault="007D2D54" w:rsidP="00120567">
            <w:pPr>
              <w:jc w:val="center"/>
            </w:pPr>
            <w:r w:rsidRPr="00120567">
              <w:t>DEA</w:t>
            </w:r>
          </w:p>
        </w:tc>
        <w:tc>
          <w:tcPr>
            <w:tcW w:w="1900" w:type="dxa"/>
          </w:tcPr>
          <w:p w14:paraId="2F9D714B" w14:textId="5CE2C53A" w:rsidR="007D2D54" w:rsidRPr="00120567" w:rsidRDefault="007D2D54" w:rsidP="00120567">
            <w:pPr>
              <w:jc w:val="center"/>
            </w:pPr>
            <w:r w:rsidRPr="00120567">
              <w:t>Resultados</w:t>
            </w:r>
          </w:p>
        </w:tc>
      </w:tr>
      <w:tr w:rsidR="00120567" w14:paraId="3C35B0FF" w14:textId="46100763" w:rsidTr="00120567">
        <w:trPr>
          <w:trHeight w:val="536"/>
        </w:trPr>
        <w:tc>
          <w:tcPr>
            <w:tcW w:w="1760" w:type="dxa"/>
          </w:tcPr>
          <w:p w14:paraId="33AB8E10" w14:textId="166334A1" w:rsidR="007D2D54" w:rsidRDefault="007D2D54" w:rsidP="00120567">
            <w:pPr>
              <w:jc w:val="left"/>
              <w:rPr>
                <w:color w:val="000000" w:themeColor="text1"/>
              </w:rPr>
            </w:pPr>
            <w:r w:rsidRPr="00711F77">
              <w:rPr>
                <w:color w:val="000000" w:themeColor="text1"/>
              </w:rPr>
              <w:t>Morais (2016)</w:t>
            </w:r>
          </w:p>
        </w:tc>
        <w:tc>
          <w:tcPr>
            <w:tcW w:w="1814" w:type="dxa"/>
          </w:tcPr>
          <w:p w14:paraId="5775C085" w14:textId="0A2D5A7E" w:rsidR="007D2D54" w:rsidRDefault="007D2D54" w:rsidP="00120567">
            <w:pPr>
              <w:jc w:val="left"/>
              <w:rPr>
                <w:color w:val="000000" w:themeColor="text1"/>
              </w:rPr>
            </w:pPr>
            <w:r w:rsidRPr="00711F77">
              <w:rPr>
                <w:color w:val="000000" w:themeColor="text1"/>
              </w:rPr>
              <w:t>PIM – subsetores; anos de 2010 e 2014</w:t>
            </w:r>
          </w:p>
        </w:tc>
        <w:tc>
          <w:tcPr>
            <w:tcW w:w="1715" w:type="dxa"/>
          </w:tcPr>
          <w:p w14:paraId="5B679DCF" w14:textId="7574A305" w:rsidR="007D2D54" w:rsidRDefault="007D2D54" w:rsidP="00120567">
            <w:pPr>
              <w:jc w:val="left"/>
              <w:rPr>
                <w:color w:val="000000" w:themeColor="text1"/>
              </w:rPr>
            </w:pPr>
            <w:r w:rsidRPr="00711F77">
              <w:rPr>
                <w:color w:val="000000" w:themeColor="text1"/>
              </w:rPr>
              <w:t>SUFRAMA</w:t>
            </w:r>
          </w:p>
        </w:tc>
        <w:tc>
          <w:tcPr>
            <w:tcW w:w="1573" w:type="dxa"/>
          </w:tcPr>
          <w:p w14:paraId="311DF2D4" w14:textId="6CBE0D87" w:rsidR="007D2D54" w:rsidRDefault="007D2D54" w:rsidP="00120567">
            <w:pPr>
              <w:jc w:val="left"/>
              <w:rPr>
                <w:color w:val="000000" w:themeColor="text1"/>
              </w:rPr>
            </w:pPr>
            <w:r w:rsidRPr="00711F77">
              <w:rPr>
                <w:color w:val="000000" w:themeColor="text1"/>
              </w:rPr>
              <w:t>CRS e VRS, orientação a insumos</w:t>
            </w:r>
          </w:p>
        </w:tc>
        <w:tc>
          <w:tcPr>
            <w:tcW w:w="1900" w:type="dxa"/>
          </w:tcPr>
          <w:p w14:paraId="6FF84331" w14:textId="441C34C8" w:rsidR="007D2D54" w:rsidRPr="00711F77" w:rsidRDefault="007D2D54" w:rsidP="00120567">
            <w:pPr>
              <w:jc w:val="left"/>
              <w:rPr>
                <w:color w:val="000000" w:themeColor="text1"/>
              </w:rPr>
            </w:pPr>
            <w:r w:rsidRPr="007D2D54">
              <w:rPr>
                <w:color w:val="000000" w:themeColor="text1"/>
              </w:rPr>
              <w:t>Dispersão de eficiência entre subsetores; lastro pré-2019</w:t>
            </w:r>
            <w:r>
              <w:rPr>
                <w:color w:val="000000" w:themeColor="text1"/>
              </w:rPr>
              <w:t>.</w:t>
            </w:r>
          </w:p>
        </w:tc>
      </w:tr>
      <w:tr w:rsidR="00120567" w14:paraId="6B3F9481" w14:textId="2236B407" w:rsidTr="00120567">
        <w:trPr>
          <w:trHeight w:val="536"/>
        </w:trPr>
        <w:tc>
          <w:tcPr>
            <w:tcW w:w="1760" w:type="dxa"/>
          </w:tcPr>
          <w:p w14:paraId="72D3E9FF" w14:textId="6F08E16F" w:rsidR="007D2D54" w:rsidRDefault="007D2D54" w:rsidP="00120567">
            <w:pPr>
              <w:jc w:val="left"/>
              <w:rPr>
                <w:color w:val="000000" w:themeColor="text1"/>
              </w:rPr>
            </w:pPr>
            <w:r w:rsidRPr="00711F77">
              <w:rPr>
                <w:color w:val="000000" w:themeColor="text1"/>
              </w:rPr>
              <w:t xml:space="preserve">Fernandes; </w:t>
            </w:r>
            <w:proofErr w:type="spellStart"/>
            <w:r w:rsidRPr="00711F77">
              <w:rPr>
                <w:color w:val="000000" w:themeColor="text1"/>
              </w:rPr>
              <w:t>Minori</w:t>
            </w:r>
            <w:proofErr w:type="spellEnd"/>
            <w:r w:rsidRPr="00711F77">
              <w:rPr>
                <w:color w:val="000000" w:themeColor="text1"/>
              </w:rPr>
              <w:t>; Morais (2019)</w:t>
            </w:r>
          </w:p>
        </w:tc>
        <w:tc>
          <w:tcPr>
            <w:tcW w:w="1814" w:type="dxa"/>
          </w:tcPr>
          <w:p w14:paraId="46C4C0CA" w14:textId="6BEB3B35" w:rsidR="007D2D54" w:rsidRDefault="007D2D54" w:rsidP="00120567">
            <w:pPr>
              <w:jc w:val="left"/>
              <w:rPr>
                <w:color w:val="000000" w:themeColor="text1"/>
              </w:rPr>
            </w:pPr>
            <w:r w:rsidRPr="00711F77">
              <w:rPr>
                <w:color w:val="000000" w:themeColor="text1"/>
              </w:rPr>
              <w:t>PIM – subsetores; 2010 vs. 2014</w:t>
            </w:r>
          </w:p>
        </w:tc>
        <w:tc>
          <w:tcPr>
            <w:tcW w:w="1715" w:type="dxa"/>
          </w:tcPr>
          <w:p w14:paraId="0524E79E" w14:textId="3CA07D0F" w:rsidR="007D2D54" w:rsidRDefault="007D2D54" w:rsidP="00120567">
            <w:pPr>
              <w:jc w:val="left"/>
              <w:rPr>
                <w:color w:val="000000" w:themeColor="text1"/>
              </w:rPr>
            </w:pPr>
            <w:r w:rsidRPr="00711F77">
              <w:rPr>
                <w:color w:val="000000" w:themeColor="text1"/>
              </w:rPr>
              <w:t>SUFRAMA</w:t>
            </w:r>
          </w:p>
        </w:tc>
        <w:tc>
          <w:tcPr>
            <w:tcW w:w="1573" w:type="dxa"/>
          </w:tcPr>
          <w:p w14:paraId="73D650E4" w14:textId="3BBAD82F" w:rsidR="007D2D54" w:rsidRDefault="007D2D54" w:rsidP="00120567">
            <w:pPr>
              <w:jc w:val="left"/>
              <w:rPr>
                <w:color w:val="000000" w:themeColor="text1"/>
              </w:rPr>
            </w:pPr>
            <w:r w:rsidRPr="00711F77">
              <w:rPr>
                <w:color w:val="000000" w:themeColor="text1"/>
              </w:rPr>
              <w:t>CRS e VRS, orientados a insumos</w:t>
            </w:r>
          </w:p>
        </w:tc>
        <w:tc>
          <w:tcPr>
            <w:tcW w:w="1900" w:type="dxa"/>
          </w:tcPr>
          <w:p w14:paraId="27A52286" w14:textId="5D348D43" w:rsidR="007D2D54" w:rsidRPr="00711F77" w:rsidRDefault="007D2D54" w:rsidP="00120567">
            <w:pPr>
              <w:jc w:val="left"/>
              <w:rPr>
                <w:color w:val="000000" w:themeColor="text1"/>
              </w:rPr>
            </w:pPr>
            <w:r w:rsidRPr="007D2D54">
              <w:rPr>
                <w:color w:val="000000" w:themeColor="text1"/>
              </w:rPr>
              <w:t>Heterogeneidade marcada; folgas relevantes; alerta contra “bloco único”</w:t>
            </w:r>
            <w:r>
              <w:rPr>
                <w:color w:val="000000" w:themeColor="text1"/>
              </w:rPr>
              <w:t>.</w:t>
            </w:r>
          </w:p>
        </w:tc>
      </w:tr>
      <w:tr w:rsidR="00120567" w14:paraId="1506D6DF" w14:textId="052A2814" w:rsidTr="00DC0339">
        <w:trPr>
          <w:trHeight w:val="2242"/>
        </w:trPr>
        <w:tc>
          <w:tcPr>
            <w:tcW w:w="1760" w:type="dxa"/>
          </w:tcPr>
          <w:p w14:paraId="01310810" w14:textId="1B2B048F" w:rsidR="007D2D54" w:rsidRDefault="007D2D54" w:rsidP="00120567">
            <w:pPr>
              <w:jc w:val="left"/>
              <w:rPr>
                <w:color w:val="000000" w:themeColor="text1"/>
              </w:rPr>
            </w:pPr>
            <w:r w:rsidRPr="00711F77">
              <w:rPr>
                <w:color w:val="000000" w:themeColor="text1"/>
              </w:rPr>
              <w:t>Cavalcante (2017)</w:t>
            </w:r>
          </w:p>
        </w:tc>
        <w:tc>
          <w:tcPr>
            <w:tcW w:w="1814" w:type="dxa"/>
          </w:tcPr>
          <w:p w14:paraId="510EF034" w14:textId="6AFB97A5" w:rsidR="007D2D54" w:rsidRDefault="007D2D54" w:rsidP="00120567">
            <w:pPr>
              <w:jc w:val="left"/>
              <w:rPr>
                <w:color w:val="000000" w:themeColor="text1"/>
              </w:rPr>
            </w:pPr>
            <w:r w:rsidRPr="00711F77">
              <w:rPr>
                <w:color w:val="000000" w:themeColor="text1"/>
              </w:rPr>
              <w:t>Lei de Informática na ZFM;</w:t>
            </w:r>
            <w:r>
              <w:rPr>
                <w:color w:val="000000" w:themeColor="text1"/>
              </w:rPr>
              <w:t xml:space="preserve"> </w:t>
            </w:r>
            <w:r w:rsidRPr="007D2D54">
              <w:rPr>
                <w:color w:val="000000" w:themeColor="text1"/>
              </w:rPr>
              <w:t>2011–2013</w:t>
            </w:r>
          </w:p>
        </w:tc>
        <w:tc>
          <w:tcPr>
            <w:tcW w:w="1715" w:type="dxa"/>
          </w:tcPr>
          <w:p w14:paraId="4521E30B" w14:textId="519392EF" w:rsidR="007D2D54" w:rsidRDefault="007D2D54" w:rsidP="00120567">
            <w:pPr>
              <w:jc w:val="left"/>
              <w:rPr>
                <w:color w:val="000000" w:themeColor="text1"/>
              </w:rPr>
            </w:pPr>
            <w:r w:rsidRPr="00711F77">
              <w:rPr>
                <w:color w:val="000000" w:themeColor="text1"/>
              </w:rPr>
              <w:t>MCTI/MDIC, SUFRAMA</w:t>
            </w:r>
          </w:p>
        </w:tc>
        <w:tc>
          <w:tcPr>
            <w:tcW w:w="1573" w:type="dxa"/>
          </w:tcPr>
          <w:p w14:paraId="400FEE5E" w14:textId="115B9F9E" w:rsidR="007D2D54" w:rsidRDefault="007D2D54" w:rsidP="00120567">
            <w:pPr>
              <w:jc w:val="left"/>
              <w:rPr>
                <w:color w:val="000000" w:themeColor="text1"/>
              </w:rPr>
            </w:pPr>
            <w:r w:rsidRPr="00711F77">
              <w:rPr>
                <w:color w:val="000000" w:themeColor="text1"/>
              </w:rPr>
              <w:t>VRS, orientação a insumos</w:t>
            </w:r>
          </w:p>
        </w:tc>
        <w:tc>
          <w:tcPr>
            <w:tcW w:w="1900" w:type="dxa"/>
          </w:tcPr>
          <w:p w14:paraId="3D503FFD" w14:textId="5DFA0F94" w:rsidR="007D2D54" w:rsidRPr="00711F77" w:rsidRDefault="007D2D54" w:rsidP="00120567">
            <w:pPr>
              <w:jc w:val="left"/>
              <w:rPr>
                <w:color w:val="000000" w:themeColor="text1"/>
              </w:rPr>
            </w:pPr>
            <w:r w:rsidRPr="007D2D54">
              <w:rPr>
                <w:color w:val="000000" w:themeColor="text1"/>
              </w:rPr>
              <w:t>Eficiência média baixa; poucos eficientes; assimetrias por arranjo de execução.</w:t>
            </w:r>
          </w:p>
        </w:tc>
      </w:tr>
      <w:tr w:rsidR="00120567" w14:paraId="64F4F737" w14:textId="4AB393A4" w:rsidTr="00DC0339">
        <w:trPr>
          <w:trHeight w:val="1882"/>
        </w:trPr>
        <w:tc>
          <w:tcPr>
            <w:tcW w:w="1760" w:type="dxa"/>
          </w:tcPr>
          <w:p w14:paraId="7B70C763" w14:textId="019F5C05" w:rsidR="007D2D54" w:rsidRPr="00711F77" w:rsidRDefault="007D2D54" w:rsidP="00120567">
            <w:pPr>
              <w:jc w:val="left"/>
              <w:rPr>
                <w:color w:val="000000" w:themeColor="text1"/>
              </w:rPr>
            </w:pPr>
            <w:r w:rsidRPr="00711F77">
              <w:rPr>
                <w:color w:val="000000" w:themeColor="text1"/>
              </w:rPr>
              <w:t>Gouvêa (2024)</w:t>
            </w:r>
          </w:p>
        </w:tc>
        <w:tc>
          <w:tcPr>
            <w:tcW w:w="1814" w:type="dxa"/>
          </w:tcPr>
          <w:p w14:paraId="309E28E3" w14:textId="732A6A99" w:rsidR="007D2D54" w:rsidRDefault="007D2D54" w:rsidP="00120567">
            <w:pPr>
              <w:jc w:val="left"/>
              <w:rPr>
                <w:color w:val="000000" w:themeColor="text1"/>
              </w:rPr>
            </w:pPr>
            <w:r w:rsidRPr="00711F77">
              <w:rPr>
                <w:color w:val="000000" w:themeColor="text1"/>
              </w:rPr>
              <w:t>PIM – subsetores; 2018–2022</w:t>
            </w:r>
          </w:p>
        </w:tc>
        <w:tc>
          <w:tcPr>
            <w:tcW w:w="1715" w:type="dxa"/>
          </w:tcPr>
          <w:p w14:paraId="3E93531F" w14:textId="0781FE4E" w:rsidR="007D2D54" w:rsidRDefault="007D2D54" w:rsidP="00120567">
            <w:pPr>
              <w:jc w:val="left"/>
              <w:rPr>
                <w:color w:val="000000" w:themeColor="text1"/>
              </w:rPr>
            </w:pPr>
            <w:r w:rsidRPr="00711F77">
              <w:rPr>
                <w:color w:val="000000" w:themeColor="text1"/>
              </w:rPr>
              <w:t>SUFRAMA</w:t>
            </w:r>
          </w:p>
        </w:tc>
        <w:tc>
          <w:tcPr>
            <w:tcW w:w="1573" w:type="dxa"/>
          </w:tcPr>
          <w:p w14:paraId="34E8B11E" w14:textId="06891C71" w:rsidR="007D2D54" w:rsidRDefault="007D2D54" w:rsidP="00120567">
            <w:pPr>
              <w:jc w:val="left"/>
              <w:rPr>
                <w:color w:val="000000" w:themeColor="text1"/>
              </w:rPr>
            </w:pPr>
            <w:r w:rsidRPr="00711F77">
              <w:rPr>
                <w:color w:val="000000" w:themeColor="text1"/>
              </w:rPr>
              <w:t>VRS, orientação a produto</w:t>
            </w:r>
            <w:r w:rsidR="002410DA">
              <w:rPr>
                <w:color w:val="000000" w:themeColor="text1"/>
              </w:rPr>
              <w:t xml:space="preserve">; </w:t>
            </w:r>
            <w:r w:rsidR="002410DA" w:rsidRPr="002410DA">
              <w:rPr>
                <w:color w:val="000000" w:themeColor="text1"/>
              </w:rPr>
              <w:t>Malmquist</w:t>
            </w:r>
          </w:p>
        </w:tc>
        <w:tc>
          <w:tcPr>
            <w:tcW w:w="1900" w:type="dxa"/>
          </w:tcPr>
          <w:p w14:paraId="6633E666" w14:textId="7AAFD6C5" w:rsidR="007D2D54" w:rsidRPr="00711F77" w:rsidRDefault="007D2D54" w:rsidP="00DC0339">
            <w:pPr>
              <w:keepNext/>
              <w:jc w:val="left"/>
              <w:rPr>
                <w:color w:val="000000" w:themeColor="text1"/>
              </w:rPr>
            </w:pPr>
            <w:r w:rsidRPr="007D2D54">
              <w:rPr>
                <w:color w:val="000000" w:themeColor="text1"/>
              </w:rPr>
              <w:t>Ineficiências no agregado; dinâmica heterogênea de PTF (pós-2018).</w:t>
            </w:r>
          </w:p>
        </w:tc>
      </w:tr>
    </w:tbl>
    <w:p w14:paraId="52F6E169" w14:textId="305F83B4" w:rsidR="00397B0E" w:rsidRDefault="00DC0339" w:rsidP="006D562E">
      <w:pPr>
        <w:pStyle w:val="Legenda"/>
        <w:jc w:val="center"/>
        <w:rPr>
          <w:color w:val="000000" w:themeColor="text1"/>
        </w:rPr>
      </w:pPr>
      <w:r>
        <w:t xml:space="preserve">Tabela </w:t>
      </w:r>
      <w:r w:rsidR="00B61AC5">
        <w:fldChar w:fldCharType="begin"/>
      </w:r>
      <w:r w:rsidR="00B61AC5">
        <w:instrText xml:space="preserve"> SEQ Tabela \* ARABIC </w:instrText>
      </w:r>
      <w:r w:rsidR="00B61AC5">
        <w:fldChar w:fldCharType="separate"/>
      </w:r>
      <w:r w:rsidR="00F7526F">
        <w:rPr>
          <w:noProof/>
        </w:rPr>
        <w:t>1</w:t>
      </w:r>
      <w:r w:rsidR="00B61AC5">
        <w:rPr>
          <w:noProof/>
        </w:rPr>
        <w:fldChar w:fldCharType="end"/>
      </w:r>
      <w:r w:rsidRPr="001B31B8">
        <w:t>– Estudos com DEA no contexto do PIM/ZFM e Lei de Informática (síntese)</w:t>
      </w:r>
    </w:p>
    <w:p w14:paraId="0AEFB786" w14:textId="77777777" w:rsidR="006D562E" w:rsidRDefault="006D562E" w:rsidP="00711F77">
      <w:pPr>
        <w:rPr>
          <w:color w:val="000000" w:themeColor="text1"/>
        </w:rPr>
      </w:pPr>
    </w:p>
    <w:p w14:paraId="0E458EE6" w14:textId="77777777" w:rsidR="006D562E" w:rsidRDefault="006D562E" w:rsidP="00711F77">
      <w:pPr>
        <w:rPr>
          <w:color w:val="000000" w:themeColor="text1"/>
        </w:rPr>
      </w:pPr>
    </w:p>
    <w:p w14:paraId="2AD1A15A" w14:textId="40469B51" w:rsidR="007D2D54" w:rsidRPr="00FB3683" w:rsidRDefault="007D2D54" w:rsidP="007D2D54">
      <w:pPr>
        <w:pStyle w:val="Ttulo2"/>
        <w:numPr>
          <w:ilvl w:val="2"/>
          <w:numId w:val="9"/>
        </w:numPr>
      </w:pPr>
      <w:bookmarkStart w:id="16" w:name="_Toc210058168"/>
      <w:r w:rsidRPr="00FB3683">
        <w:t>IMPLICAÇÕES METODOLÓGICAS E</w:t>
      </w:r>
      <w:r w:rsidR="00154D71" w:rsidRPr="00FB3683">
        <w:t xml:space="preserve"> </w:t>
      </w:r>
      <w:r w:rsidRPr="00FB3683">
        <w:t>DE ESPECIFICAÇÃO</w:t>
      </w:r>
      <w:bookmarkEnd w:id="16"/>
      <w:r w:rsidRPr="00FB3683">
        <w:br/>
      </w:r>
    </w:p>
    <w:p w14:paraId="6A8882FA" w14:textId="29604C39" w:rsidR="002410DA" w:rsidRPr="00FB3683" w:rsidRDefault="002410DA" w:rsidP="006D562E">
      <w:pPr>
        <w:ind w:firstLine="708"/>
      </w:pPr>
      <w:r w:rsidRPr="00FB3683">
        <w:t>A revisão sustenta diretrizes claras para a nossa estratégia empírica:</w:t>
      </w:r>
    </w:p>
    <w:p w14:paraId="72BB7F33" w14:textId="77777777" w:rsidR="009A761D" w:rsidRPr="00FB3683" w:rsidRDefault="009A761D" w:rsidP="002410DA">
      <w:pPr>
        <w:pStyle w:val="PargrafodaLista"/>
        <w:numPr>
          <w:ilvl w:val="0"/>
          <w:numId w:val="24"/>
        </w:numPr>
      </w:pPr>
      <w:r w:rsidRPr="00FB3683">
        <w:lastRenderedPageBreak/>
        <w:t xml:space="preserve">Unidade de análise e heterogeneidade. A forte dispersão de escores entre subsetores recomenda comparar “iguais com iguais”. Adotar-se-á clusterização prévia (K-means) com variáveis estruturais escolhidas </w:t>
      </w:r>
      <w:proofErr w:type="spellStart"/>
      <w:r w:rsidRPr="00FB3683">
        <w:t>ex-ante</w:t>
      </w:r>
      <w:proofErr w:type="spellEnd"/>
      <w:r w:rsidRPr="00FB3683">
        <w:t xml:space="preserve"> (porte; intensidade de capital via CAPEX/emprego; exposição a incentivos em nível e por empregado; composição ocupacional/salarial). Para evitar vazamento de informação, outputs do DEA (p. ex., valor adicionado e emprego) não entram na clusterização, tampouco métricas que os combinem diretamente.</w:t>
      </w:r>
    </w:p>
    <w:p w14:paraId="72320F3D" w14:textId="691C0367" w:rsidR="002410DA" w:rsidRPr="00FB3683" w:rsidRDefault="002410DA" w:rsidP="002410DA">
      <w:pPr>
        <w:pStyle w:val="PargrafodaLista"/>
        <w:numPr>
          <w:ilvl w:val="0"/>
          <w:numId w:val="24"/>
        </w:numPr>
      </w:pPr>
      <w:r w:rsidRPr="00FB3683">
        <w:t>Retornos e orientação. Em linha com o problema de política (converter um insumo dado — o incentivo — em resultados), especificaremos DEA-VRS orientado a outputs. O VRS separa eficiência técnica pura de efeitos de escala, crucial num ambiente com portes distintos de plantas.</w:t>
      </w:r>
    </w:p>
    <w:p w14:paraId="3F562568" w14:textId="4B0B5B59" w:rsidR="002410DA" w:rsidRPr="00FB3683" w:rsidRDefault="002410DA" w:rsidP="002410DA">
      <w:pPr>
        <w:pStyle w:val="PargrafodaLista"/>
        <w:numPr>
          <w:ilvl w:val="0"/>
          <w:numId w:val="24"/>
        </w:numPr>
      </w:pPr>
      <w:r w:rsidRPr="00FB3683">
        <w:t>Dinâmica intertemporal. Para capturar o pós-2018 (choques e recomposição), integraremos o Índice de Malmquist, decompondo mudanças em catch-</w:t>
      </w:r>
      <w:proofErr w:type="spellStart"/>
      <w:r w:rsidRPr="00FB3683">
        <w:t>up</w:t>
      </w:r>
      <w:proofErr w:type="spellEnd"/>
      <w:r w:rsidRPr="00FB3683">
        <w:t xml:space="preserve"> (gestão/aprendizado) e shift tecnológico (movimento da fronteira).</w:t>
      </w:r>
    </w:p>
    <w:p w14:paraId="4A7C9506" w14:textId="77777777" w:rsidR="002410DA" w:rsidRPr="00FB3683" w:rsidRDefault="002410DA" w:rsidP="002410DA">
      <w:pPr>
        <w:pStyle w:val="PargrafodaLista"/>
        <w:numPr>
          <w:ilvl w:val="0"/>
          <w:numId w:val="24"/>
        </w:numPr>
      </w:pPr>
      <w:r w:rsidRPr="00FB3683">
        <w:t xml:space="preserve">Comparabilidade entre grupos. Como escores estimados em fronteiras distintas não são diretamente comparáveis, quando necessário recorreremos ao arcabouço de metafronteira/Technology-Gap Ratio (TGR) para qualificar diferenças tecnológicas entre clusters, sem confundi-las com (in)eficiência gerencial. </w:t>
      </w:r>
    </w:p>
    <w:p w14:paraId="64375B3E" w14:textId="48D25C7C" w:rsidR="002410DA" w:rsidRPr="00FB3683" w:rsidRDefault="002410DA" w:rsidP="002410DA">
      <w:pPr>
        <w:pStyle w:val="PargrafodaLista"/>
        <w:numPr>
          <w:ilvl w:val="0"/>
          <w:numId w:val="24"/>
        </w:numPr>
      </w:pPr>
      <w:r w:rsidRPr="00FB3683">
        <w:t xml:space="preserve">Inferência sobre determinantes. A hipótese do trade-off da automação (CAPEX/emprego) será testada em segunda etapa com procedimento de </w:t>
      </w:r>
      <w:proofErr w:type="spellStart"/>
      <w:r w:rsidRPr="00FB3683">
        <w:t>Simar</w:t>
      </w:r>
      <w:proofErr w:type="spellEnd"/>
      <w:r w:rsidRPr="00FB3683">
        <w:t>–Wilson (</w:t>
      </w:r>
      <w:proofErr w:type="spellStart"/>
      <w:r w:rsidRPr="00FB3683">
        <w:t>bootstrap</w:t>
      </w:r>
      <w:proofErr w:type="spellEnd"/>
      <w:r w:rsidRPr="00FB3683">
        <w:t>/</w:t>
      </w:r>
      <w:proofErr w:type="spellStart"/>
      <w:r w:rsidRPr="00FB3683">
        <w:t>truncated</w:t>
      </w:r>
      <w:proofErr w:type="spellEnd"/>
      <w:r w:rsidRPr="00FB3683">
        <w:t xml:space="preserve">), adequado à natureza </w:t>
      </w:r>
      <w:proofErr w:type="spellStart"/>
      <w:r w:rsidRPr="00FB3683">
        <w:t>otimizante</w:t>
      </w:r>
      <w:proofErr w:type="spellEnd"/>
      <w:r w:rsidRPr="00FB3683">
        <w:t xml:space="preserve"> dos escores.</w:t>
      </w:r>
    </w:p>
    <w:p w14:paraId="6393092D" w14:textId="60C92E27" w:rsidR="002410DA" w:rsidRPr="00FB3683" w:rsidRDefault="002410DA" w:rsidP="002410DA">
      <w:pPr>
        <w:pStyle w:val="PargrafodaLista"/>
        <w:numPr>
          <w:ilvl w:val="0"/>
          <w:numId w:val="24"/>
        </w:numPr>
      </w:pPr>
      <w:r w:rsidRPr="00FB3683">
        <w:t xml:space="preserve">Robustez. Checaremos estabilidade da segmentação (múltiplas sementes e </w:t>
      </w:r>
      <w:proofErr w:type="spellStart"/>
      <w:r w:rsidRPr="00FB3683">
        <w:t>subamostragem</w:t>
      </w:r>
      <w:proofErr w:type="spellEnd"/>
      <w:r w:rsidRPr="00FB3683">
        <w:t xml:space="preserve">), sensibilidade do K, e verificaremos os resultados do DEA frente a escolhas alternativas de variáveis e pré-processamento (padronização z-score, transformações log, </w:t>
      </w:r>
      <w:proofErr w:type="spellStart"/>
      <w:r w:rsidRPr="00FB3683">
        <w:t>winsorização</w:t>
      </w:r>
      <w:proofErr w:type="spellEnd"/>
      <w:r w:rsidRPr="00FB3683">
        <w:t>) para mitigar a influência de outliers.</w:t>
      </w:r>
    </w:p>
    <w:p w14:paraId="0973959D" w14:textId="77777777" w:rsidR="009A761D" w:rsidRPr="00FB3683" w:rsidRDefault="009A761D" w:rsidP="002410DA">
      <w:pPr>
        <w:pStyle w:val="PargrafodaLista"/>
        <w:numPr>
          <w:ilvl w:val="0"/>
          <w:numId w:val="24"/>
        </w:numPr>
      </w:pPr>
      <w:r w:rsidRPr="00FB3683">
        <w:t xml:space="preserve">Tamanho amostral por cluster. Para preservar poder discriminante do DEA, cada cluster manterá massa crítica de </w:t>
      </w:r>
      <w:proofErr w:type="spellStart"/>
      <w:r w:rsidRPr="00FB3683">
        <w:t>DMUs</w:t>
      </w:r>
      <w:proofErr w:type="spellEnd"/>
      <w:r w:rsidRPr="00FB3683">
        <w:t>; adotar-se-á a regra prática usual de número de unidades substancialmente superior ao total de variáveis do modelo de eficiência, conforme diretrizes consagradas na literatura.</w:t>
      </w:r>
    </w:p>
    <w:p w14:paraId="7BC886A5" w14:textId="55CBE095" w:rsidR="00397B0E" w:rsidRPr="00FB3683" w:rsidRDefault="002410DA" w:rsidP="002410DA">
      <w:pPr>
        <w:pStyle w:val="PargrafodaLista"/>
        <w:numPr>
          <w:ilvl w:val="0"/>
          <w:numId w:val="24"/>
        </w:numPr>
      </w:pPr>
      <w:r w:rsidRPr="00FB3683">
        <w:lastRenderedPageBreak/>
        <w:t>Leitura para política pública. O arranjo K-means → DEA (VRS, outputs) → Malmquist produz um mapa acionável: (i) ineficiência dentro do cluster (gestão), (</w:t>
      </w:r>
      <w:proofErr w:type="spellStart"/>
      <w:r w:rsidRPr="00FB3683">
        <w:t>ii</w:t>
      </w:r>
      <w:proofErr w:type="spellEnd"/>
      <w:r w:rsidRPr="00FB3683">
        <w:t>) escala subótima e (</w:t>
      </w:r>
      <w:proofErr w:type="spellStart"/>
      <w:r w:rsidRPr="00FB3683">
        <w:t>iii</w:t>
      </w:r>
      <w:proofErr w:type="spellEnd"/>
      <w:r w:rsidRPr="00FB3683">
        <w:t>) lacuna tecnológica entre clusters (TGR). Cada diagnóstico aponta instrumentos distintos (boas práticas/gestão; revisão de porte/escala; encadeamentos e P&amp;D/tecnologia).</w:t>
      </w:r>
    </w:p>
    <w:p w14:paraId="4455411F" w14:textId="77777777" w:rsidR="00397B0E" w:rsidRDefault="00397B0E" w:rsidP="006F69EF">
      <w:pPr>
        <w:rPr>
          <w:color w:val="000000" w:themeColor="text1"/>
        </w:rPr>
      </w:pPr>
    </w:p>
    <w:p w14:paraId="06CAEC63" w14:textId="7FDAC89D" w:rsidR="006F69EF" w:rsidRDefault="006F69EF" w:rsidP="00B14852">
      <w:pPr>
        <w:ind w:firstLine="708"/>
        <w:rPr>
          <w:color w:val="000000" w:themeColor="text1"/>
        </w:rPr>
      </w:pPr>
      <w:r w:rsidRPr="006F69EF">
        <w:rPr>
          <w:color w:val="000000" w:themeColor="text1"/>
        </w:rPr>
        <w:t>Em síntese, a revisão de evidências sobre eficiência no PIM/ZFM sustenta o desenho empírico proposto: segmentação prévia para acomodar heterogeneidade tecnológica, estimação de DEA-VRS orientado a produto e leitura dinâmica via Malmquist, com cuidados de comparabilidade e inferência. Nas seções seguintes, detalha-se o papel da clusterização K-means em contextos produtivos (3.2) e o panorama de avaliações sobre a ZFM (3.3), preparando o terreno para a formalização metodológica e a operacionalização empírica no capítulo de metodologia.</w:t>
      </w:r>
    </w:p>
    <w:p w14:paraId="70EB0E64" w14:textId="77777777" w:rsidR="006F69EF" w:rsidRDefault="006F69EF" w:rsidP="00B14852">
      <w:pPr>
        <w:ind w:firstLine="708"/>
        <w:rPr>
          <w:color w:val="000000" w:themeColor="text1"/>
        </w:rPr>
      </w:pPr>
    </w:p>
    <w:p w14:paraId="0E2E83C1" w14:textId="6B1FD6CC" w:rsidR="006F69EF" w:rsidRDefault="006F69EF" w:rsidP="006F69EF">
      <w:pPr>
        <w:pStyle w:val="Ttulo2"/>
      </w:pPr>
      <w:bookmarkStart w:id="17" w:name="_Toc210058169"/>
      <w:r w:rsidRPr="006F69EF">
        <w:t>APLICAÇÕES DE K-MEANS EM CONTEXTOS PRODUTIVOS</w:t>
      </w:r>
      <w:bookmarkEnd w:id="17"/>
    </w:p>
    <w:p w14:paraId="29814520" w14:textId="77777777" w:rsidR="006F69EF" w:rsidRPr="00397B0E" w:rsidRDefault="006F69EF" w:rsidP="006F69EF"/>
    <w:p w14:paraId="44759D54" w14:textId="77777777" w:rsidR="009A761D" w:rsidRDefault="009A761D" w:rsidP="001609AF">
      <w:pPr>
        <w:ind w:firstLine="708"/>
        <w:rPr>
          <w:color w:val="000000" w:themeColor="text1"/>
        </w:rPr>
      </w:pPr>
      <w:r w:rsidRPr="009A761D">
        <w:rPr>
          <w:color w:val="000000" w:themeColor="text1"/>
        </w:rPr>
        <w:t xml:space="preserve">O uso do K-means em economia da produção e gestão industrial consolidou-se como procedimento de estratificação prévia para lidar com heterogeneidade tecnológica e de escala. A ideia central é formar grupos relativamente homogêneos antes de comparar desempenho, estimar fronteiras de eficiência ou calibrar instrumentos de política por perfil produtivo. A atratividade do método decorre de três atributos práticos: parcimônia (poucos </w:t>
      </w:r>
      <w:proofErr w:type="spellStart"/>
      <w:r w:rsidRPr="009A761D">
        <w:rPr>
          <w:color w:val="000000" w:themeColor="text1"/>
        </w:rPr>
        <w:t>hiperparâmetros</w:t>
      </w:r>
      <w:proofErr w:type="spellEnd"/>
      <w:r w:rsidRPr="009A761D">
        <w:rPr>
          <w:color w:val="000000" w:themeColor="text1"/>
        </w:rPr>
        <w:t>), escala (bom desempenho em amostras médias/grandes) e transparência (</w:t>
      </w:r>
      <w:proofErr w:type="spellStart"/>
      <w:r w:rsidRPr="009A761D">
        <w:rPr>
          <w:color w:val="000000" w:themeColor="text1"/>
        </w:rPr>
        <w:t>centróides</w:t>
      </w:r>
      <w:proofErr w:type="spellEnd"/>
      <w:r w:rsidRPr="009A761D">
        <w:rPr>
          <w:color w:val="000000" w:themeColor="text1"/>
        </w:rPr>
        <w:t xml:space="preserve"> interpretáveis), preservando relevância mesmo após seis décadas de uso (JAIN, 2010; HAIR JR. et al., 2019; FÁVERO; BELFIORE, 2024).</w:t>
      </w:r>
    </w:p>
    <w:p w14:paraId="60E5DAEF" w14:textId="77777777" w:rsidR="009A761D" w:rsidRDefault="009A761D" w:rsidP="001609AF">
      <w:pPr>
        <w:ind w:firstLine="708"/>
        <w:rPr>
          <w:color w:val="000000" w:themeColor="text1"/>
        </w:rPr>
      </w:pPr>
      <w:r w:rsidRPr="009A761D">
        <w:rPr>
          <w:color w:val="000000" w:themeColor="text1"/>
        </w:rPr>
        <w:t xml:space="preserve">Na literatura aplicada, o K-means aparece de modo recorrente em quatro vertentes: (i) tipologias setoriais e </w:t>
      </w:r>
      <w:proofErr w:type="spellStart"/>
      <w:r w:rsidRPr="009A761D">
        <w:rPr>
          <w:color w:val="000000" w:themeColor="text1"/>
        </w:rPr>
        <w:t>peer</w:t>
      </w:r>
      <w:proofErr w:type="spellEnd"/>
      <w:r w:rsidRPr="009A761D">
        <w:rPr>
          <w:color w:val="000000" w:themeColor="text1"/>
        </w:rPr>
        <w:t xml:space="preserve"> </w:t>
      </w:r>
      <w:proofErr w:type="spellStart"/>
      <w:r w:rsidRPr="009A761D">
        <w:rPr>
          <w:color w:val="000000" w:themeColor="text1"/>
        </w:rPr>
        <w:t>groups</w:t>
      </w:r>
      <w:proofErr w:type="spellEnd"/>
      <w:r w:rsidRPr="009A761D">
        <w:rPr>
          <w:color w:val="000000" w:themeColor="text1"/>
        </w:rPr>
        <w:t xml:space="preserve"> industriais (agrupamentos por porte, intensidade de capital, composição ocupacional e complexidade do produto, úteis a benchmarking e desenho de políticas) (KETCHEN; SHOOK, 1996; JAIN, 2010); (</w:t>
      </w:r>
      <w:proofErr w:type="spellStart"/>
      <w:r w:rsidRPr="009A761D">
        <w:rPr>
          <w:color w:val="000000" w:themeColor="text1"/>
        </w:rPr>
        <w:t>ii</w:t>
      </w:r>
      <w:proofErr w:type="spellEnd"/>
      <w:r w:rsidRPr="009A761D">
        <w:rPr>
          <w:color w:val="000000" w:themeColor="text1"/>
        </w:rPr>
        <w:t>) operações e cadeias de suprimentos (segmentação de fornecedores, linhas e mix segundo regularidade de demanda, lead time e variabilidade de custo) (HAIR JR. et al., 2019); (</w:t>
      </w:r>
      <w:proofErr w:type="spellStart"/>
      <w:r w:rsidRPr="009A761D">
        <w:rPr>
          <w:color w:val="000000" w:themeColor="text1"/>
        </w:rPr>
        <w:t>iii</w:t>
      </w:r>
      <w:proofErr w:type="spellEnd"/>
      <w:r w:rsidRPr="009A761D">
        <w:rPr>
          <w:color w:val="000000" w:themeColor="text1"/>
        </w:rPr>
        <w:t>) produtividade e desempenho (criação de grupos “comparáveis” para, então, avaliar eficiência por DEA/SFA, reduzindo a influência de outliers tecnológicos e favorecendo interpretação por perfis) (SAMOILENKO; OSEI-BRYCE, 2013); (</w:t>
      </w:r>
      <w:proofErr w:type="spellStart"/>
      <w:r w:rsidRPr="009A761D">
        <w:rPr>
          <w:color w:val="000000" w:themeColor="text1"/>
        </w:rPr>
        <w:t>iv</w:t>
      </w:r>
      <w:proofErr w:type="spellEnd"/>
      <w:r w:rsidRPr="009A761D">
        <w:rPr>
          <w:color w:val="000000" w:themeColor="text1"/>
        </w:rPr>
        <w:t xml:space="preserve">) políticas </w:t>
      </w:r>
      <w:proofErr w:type="spellStart"/>
      <w:r w:rsidRPr="009A761D">
        <w:rPr>
          <w:color w:val="000000" w:themeColor="text1"/>
        </w:rPr>
        <w:t>place-</w:t>
      </w:r>
      <w:r w:rsidRPr="009A761D">
        <w:rPr>
          <w:color w:val="000000" w:themeColor="text1"/>
        </w:rPr>
        <w:lastRenderedPageBreak/>
        <w:t>based</w:t>
      </w:r>
      <w:proofErr w:type="spellEnd"/>
      <w:r w:rsidRPr="009A761D">
        <w:rPr>
          <w:color w:val="000000" w:themeColor="text1"/>
        </w:rPr>
        <w:t xml:space="preserve"> (segmentação de territórios/arranjos locais por estrutura produtiva, encadeamentos e esforço tecnológico) (HAIR JR. et al., 2019; FÁVERO; BELFIORE, 2024).</w:t>
      </w:r>
    </w:p>
    <w:p w14:paraId="49A4CF58" w14:textId="77777777" w:rsidR="009A761D" w:rsidRDefault="009A761D" w:rsidP="001609AF">
      <w:pPr>
        <w:ind w:firstLine="708"/>
        <w:rPr>
          <w:color w:val="000000" w:themeColor="text1"/>
        </w:rPr>
      </w:pPr>
      <w:r w:rsidRPr="009A761D">
        <w:rPr>
          <w:color w:val="000000" w:themeColor="text1"/>
        </w:rPr>
        <w:t xml:space="preserve">Do ponto de vista substantivo, a seleção de variáveis deve ser </w:t>
      </w:r>
      <w:proofErr w:type="spellStart"/>
      <w:r w:rsidRPr="009A761D">
        <w:rPr>
          <w:color w:val="000000" w:themeColor="text1"/>
        </w:rPr>
        <w:t>ex-ante</w:t>
      </w:r>
      <w:proofErr w:type="spellEnd"/>
      <w:r w:rsidRPr="009A761D">
        <w:rPr>
          <w:color w:val="000000" w:themeColor="text1"/>
        </w:rPr>
        <w:t xml:space="preserve"> e descrever traços estruturais do processo produtivo (escala via VA; automação via CAPEX/emprego; intensidade de trabalho via emprego/VA; exposição a incentivos em nível e por empregado; esforço de P&amp;D quando disponível), evitando vazamento de informação: variáveis que serão outputs da eficiência (p. ex., o próprio escore DEA ou combinações diretas de outputs) não entram na segmentação. A escolha de K combina heurísticas consagradas — cotovelo, índice de </w:t>
      </w:r>
      <w:proofErr w:type="spellStart"/>
      <w:r w:rsidRPr="009A761D">
        <w:rPr>
          <w:color w:val="000000" w:themeColor="text1"/>
        </w:rPr>
        <w:t>silhouette</w:t>
      </w:r>
      <w:proofErr w:type="spellEnd"/>
      <w:r w:rsidRPr="009A761D">
        <w:rPr>
          <w:color w:val="000000" w:themeColor="text1"/>
        </w:rPr>
        <w:t xml:space="preserve"> e estatística gap — com </w:t>
      </w:r>
      <w:proofErr w:type="spellStart"/>
      <w:r w:rsidRPr="009A761D">
        <w:rPr>
          <w:color w:val="000000" w:themeColor="text1"/>
        </w:rPr>
        <w:t>interpretabilidade</w:t>
      </w:r>
      <w:proofErr w:type="spellEnd"/>
      <w:r w:rsidRPr="009A761D">
        <w:rPr>
          <w:color w:val="000000" w:themeColor="text1"/>
        </w:rPr>
        <w:t xml:space="preserve"> econômica e tamanho mínimo por grupo (ROUSSEEUW, 1987; TIBSHIRANI; WALTHER; HASTIE, 2001; MILLIGAN; COOPER, 1985). Como o algoritmo minimiza variância intraclasse e converge para soluções locais, recomenda-se inicialização k-means++ e múltiplas sementes (ARTHUR; VASSILVITSKII, 2007). Procedimentos de padronização de escala e tratamento de assimetrias/outliers, bem como checagens de estabilidade da partição, serão detalhados na Metodologia.</w:t>
      </w:r>
    </w:p>
    <w:p w14:paraId="751774AF" w14:textId="77777777" w:rsidR="009A761D" w:rsidRDefault="009A761D" w:rsidP="001609AF">
      <w:pPr>
        <w:ind w:firstLine="708"/>
        <w:rPr>
          <w:color w:val="000000" w:themeColor="text1"/>
        </w:rPr>
      </w:pPr>
      <w:r w:rsidRPr="009A761D">
        <w:rPr>
          <w:color w:val="000000" w:themeColor="text1"/>
        </w:rPr>
        <w:t>A literatura também explicita limitações e alternativas. O K-means tende a funcionar melhor quando os grupos são aproximadamente esféricos e de volumes semelhantes; estruturas alongadas ou muito desbalanceadas deterioram a separação (JAIN, 2010; HAIR JR. et al., 2019). Em alta dimensionalidade, a distância perde contraste; um PCA exploratório auxilia na visualização (sem substituir as variáveis substantivas). Para dados com categorias relevantes, k-</w:t>
      </w:r>
      <w:proofErr w:type="spellStart"/>
      <w:r w:rsidRPr="009A761D">
        <w:rPr>
          <w:color w:val="000000" w:themeColor="text1"/>
        </w:rPr>
        <w:t>medoids</w:t>
      </w:r>
      <w:proofErr w:type="spellEnd"/>
      <w:r w:rsidRPr="009A761D">
        <w:rPr>
          <w:color w:val="000000" w:themeColor="text1"/>
        </w:rPr>
        <w:t xml:space="preserve"> (PAM) e k-</w:t>
      </w:r>
      <w:proofErr w:type="spellStart"/>
      <w:r w:rsidRPr="009A761D">
        <w:rPr>
          <w:color w:val="000000" w:themeColor="text1"/>
        </w:rPr>
        <w:t>prototypes</w:t>
      </w:r>
      <w:proofErr w:type="spellEnd"/>
      <w:r w:rsidRPr="009A761D">
        <w:rPr>
          <w:color w:val="000000" w:themeColor="text1"/>
        </w:rPr>
        <w:t xml:space="preserve"> (mistos) são opções úteis (HUANG, 1998; KAUFMAN; ROUSSEEUW, 2005). Em estruturas claramente hierárquicas, métodos de Ward podem servir como diagnóstico inicial, seguido de K-means para refino (HAIR JR. et al., 2019).</w:t>
      </w:r>
    </w:p>
    <w:p w14:paraId="1B9FA5AE" w14:textId="77777777" w:rsidR="009A761D" w:rsidRDefault="001609AF" w:rsidP="001609AF">
      <w:pPr>
        <w:ind w:firstLine="708"/>
        <w:rPr>
          <w:color w:val="000000" w:themeColor="text1"/>
        </w:rPr>
      </w:pPr>
      <w:r w:rsidRPr="001609AF">
        <w:rPr>
          <w:color w:val="000000" w:themeColor="text1"/>
        </w:rPr>
        <w:t xml:space="preserve">Aplicando-se ao objeto </w:t>
      </w:r>
      <w:r w:rsidR="009A761D">
        <w:rPr>
          <w:color w:val="000000" w:themeColor="text1"/>
        </w:rPr>
        <w:t>de estudo</w:t>
      </w:r>
      <w:r w:rsidRPr="001609AF">
        <w:rPr>
          <w:color w:val="000000" w:themeColor="text1"/>
        </w:rPr>
        <w:t xml:space="preserve"> — os subsetores do PIM (2018–2023) </w:t>
      </w:r>
      <w:r w:rsidR="009A761D" w:rsidRPr="009A761D">
        <w:rPr>
          <w:color w:val="000000" w:themeColor="text1"/>
        </w:rPr>
        <w:t>três diretrizes emergem: (i) realizar a clusterização em painel empilhado (</w:t>
      </w:r>
      <w:proofErr w:type="spellStart"/>
      <w:r w:rsidR="009A761D" w:rsidRPr="009A761D">
        <w:rPr>
          <w:color w:val="000000" w:themeColor="text1"/>
        </w:rPr>
        <w:t>pooled</w:t>
      </w:r>
      <w:proofErr w:type="spellEnd"/>
      <w:r w:rsidR="009A761D" w:rsidRPr="009A761D">
        <w:rPr>
          <w:color w:val="000000" w:themeColor="text1"/>
        </w:rPr>
        <w:t>) para capturar tipos estruturais estáveis e preservar comparabilidade anual (com sensibilidades por janelas, como 2018–2020 vs. 2021–2023); (</w:t>
      </w:r>
      <w:proofErr w:type="spellStart"/>
      <w:r w:rsidR="009A761D" w:rsidRPr="009A761D">
        <w:rPr>
          <w:color w:val="000000" w:themeColor="text1"/>
        </w:rPr>
        <w:t>ii</w:t>
      </w:r>
      <w:proofErr w:type="spellEnd"/>
      <w:r w:rsidR="009A761D" w:rsidRPr="009A761D">
        <w:rPr>
          <w:color w:val="000000" w:themeColor="text1"/>
        </w:rPr>
        <w:t>) perfilar os clusters de modo a dialogar com os instrumentos de governança da ZFM (PPB, P&amp;D), identificando perfis que se beneficiam mais/menos de determinadas contrapartidas; (</w:t>
      </w:r>
      <w:proofErr w:type="spellStart"/>
      <w:r w:rsidR="009A761D" w:rsidRPr="009A761D">
        <w:rPr>
          <w:color w:val="000000" w:themeColor="text1"/>
        </w:rPr>
        <w:t>iii</w:t>
      </w:r>
      <w:proofErr w:type="spellEnd"/>
      <w:r w:rsidR="009A761D" w:rsidRPr="009A761D">
        <w:rPr>
          <w:color w:val="000000" w:themeColor="text1"/>
        </w:rPr>
        <w:t>) combinar K-</w:t>
      </w:r>
      <w:proofErr w:type="spellStart"/>
      <w:r w:rsidR="009A761D" w:rsidRPr="009A761D">
        <w:rPr>
          <w:color w:val="000000" w:themeColor="text1"/>
        </w:rPr>
        <w:t>means</w:t>
      </w:r>
      <w:proofErr w:type="spellEnd"/>
      <w:r w:rsidR="009A761D" w:rsidRPr="009A761D">
        <w:rPr>
          <w:color w:val="000000" w:themeColor="text1"/>
        </w:rPr>
        <w:t xml:space="preserve"> → DEA para comparar “iguais com iguais”: a fronteira estimada dentro de cada agrupamento evita que tecnologias líderes distorçam comparações e viabiliza leituras granulares (ineficiência gerencial, escala subótima, lacuna tecnológica).</w:t>
      </w:r>
    </w:p>
    <w:p w14:paraId="3E52EBD8" w14:textId="7660B180" w:rsidR="006F69EF" w:rsidRDefault="009A761D" w:rsidP="00B14852">
      <w:pPr>
        <w:ind w:firstLine="708"/>
        <w:rPr>
          <w:color w:val="000000" w:themeColor="text1"/>
        </w:rPr>
      </w:pPr>
      <w:r w:rsidRPr="009A761D">
        <w:rPr>
          <w:color w:val="000000" w:themeColor="text1"/>
        </w:rPr>
        <w:lastRenderedPageBreak/>
        <w:t xml:space="preserve">Em suma, a revisão sobre K-means em contextos produtivos fornece o roteiro para a segmentação deste estudo: variáveis estruturais </w:t>
      </w:r>
      <w:proofErr w:type="spellStart"/>
      <w:r w:rsidRPr="009A761D">
        <w:rPr>
          <w:color w:val="000000" w:themeColor="text1"/>
        </w:rPr>
        <w:t>ex-</w:t>
      </w:r>
      <w:proofErr w:type="gramStart"/>
      <w:r w:rsidRPr="009A761D">
        <w:rPr>
          <w:color w:val="000000" w:themeColor="text1"/>
        </w:rPr>
        <w:t>ante</w:t>
      </w:r>
      <w:proofErr w:type="spellEnd"/>
      <w:r w:rsidRPr="009A761D">
        <w:rPr>
          <w:color w:val="000000" w:themeColor="text1"/>
        </w:rPr>
        <w:t>, critérios</w:t>
      </w:r>
      <w:proofErr w:type="gramEnd"/>
      <w:r w:rsidRPr="009A761D">
        <w:rPr>
          <w:color w:val="000000" w:themeColor="text1"/>
        </w:rPr>
        <w:t xml:space="preserve"> múltiplos para K e estabilidade documentada, seguidos de perfilação substantiva. Essa preparação eleva a justiça comparativa da avaliação de eficiência e melhora a tradução em política pública quando os resultados forem lidos por tipo de produtor no PIM.</w:t>
      </w:r>
    </w:p>
    <w:p w14:paraId="1FDA1F00" w14:textId="77777777" w:rsidR="009A761D" w:rsidRDefault="009A761D" w:rsidP="00B14852">
      <w:pPr>
        <w:ind w:firstLine="708"/>
        <w:rPr>
          <w:color w:val="000000" w:themeColor="text1"/>
        </w:rPr>
      </w:pPr>
    </w:p>
    <w:p w14:paraId="15EEB1A5" w14:textId="26AC15C9" w:rsidR="001609AF" w:rsidRDefault="001609AF" w:rsidP="001609AF">
      <w:pPr>
        <w:pStyle w:val="Ttulo2"/>
      </w:pPr>
      <w:bookmarkStart w:id="18" w:name="_Toc210058170"/>
      <w:r w:rsidRPr="001609AF">
        <w:t>PANORAMA DA LITERATURA SOBRE A ZFM</w:t>
      </w:r>
      <w:bookmarkEnd w:id="18"/>
    </w:p>
    <w:p w14:paraId="6DC463C4" w14:textId="77777777" w:rsidR="001609AF" w:rsidRPr="001609AF" w:rsidRDefault="001609AF" w:rsidP="001609AF"/>
    <w:p w14:paraId="269D6503" w14:textId="77777777" w:rsidR="00A064CE" w:rsidRDefault="00A064CE" w:rsidP="001609AF">
      <w:pPr>
        <w:ind w:firstLine="708"/>
        <w:rPr>
          <w:color w:val="000000" w:themeColor="text1"/>
        </w:rPr>
      </w:pPr>
      <w:r w:rsidRPr="00A064CE">
        <w:rPr>
          <w:color w:val="000000" w:themeColor="text1"/>
        </w:rPr>
        <w:t xml:space="preserve">A literatura sobre a Zona Franca de Manaus (ZFM) é vasta e heterogênea, refletindo leituras distintas sobre adicionalidade, eficiência produtiva e efeitos distributivos de uma política </w:t>
      </w:r>
      <w:proofErr w:type="spellStart"/>
      <w:r w:rsidRPr="00A064CE">
        <w:rPr>
          <w:color w:val="000000" w:themeColor="text1"/>
        </w:rPr>
        <w:t>place-based</w:t>
      </w:r>
      <w:proofErr w:type="spellEnd"/>
      <w:r w:rsidRPr="00A064CE">
        <w:rPr>
          <w:color w:val="000000" w:themeColor="text1"/>
        </w:rPr>
        <w:t xml:space="preserve"> de longa duração. Três correntes se destacam: (i) avaliações favoráveis que apontam impactos líquidos positivos e externalidades; (</w:t>
      </w:r>
      <w:proofErr w:type="spellStart"/>
      <w:r w:rsidRPr="00A064CE">
        <w:rPr>
          <w:color w:val="000000" w:themeColor="text1"/>
        </w:rPr>
        <w:t>ii</w:t>
      </w:r>
      <w:proofErr w:type="spellEnd"/>
      <w:r w:rsidRPr="00A064CE">
        <w:rPr>
          <w:color w:val="000000" w:themeColor="text1"/>
        </w:rPr>
        <w:t>) análises críticas centradas em custo fiscal, produtividade e governança; e (</w:t>
      </w:r>
      <w:proofErr w:type="spellStart"/>
      <w:r w:rsidRPr="00A064CE">
        <w:rPr>
          <w:color w:val="000000" w:themeColor="text1"/>
        </w:rPr>
        <w:t>iii</w:t>
      </w:r>
      <w:proofErr w:type="spellEnd"/>
      <w:r w:rsidRPr="00A064CE">
        <w:rPr>
          <w:color w:val="000000" w:themeColor="text1"/>
        </w:rPr>
        <w:t>) estudos metodológicos/empíricos que problematizam desenho de identificação, granularidade setorial e métricas de desempenho.</w:t>
      </w:r>
    </w:p>
    <w:p w14:paraId="5B421E3C" w14:textId="77777777" w:rsidR="00A064CE" w:rsidRDefault="00A064CE" w:rsidP="001609AF">
      <w:pPr>
        <w:ind w:firstLine="708"/>
        <w:rPr>
          <w:color w:val="000000" w:themeColor="text1"/>
        </w:rPr>
      </w:pPr>
      <w:r w:rsidRPr="00A064CE">
        <w:rPr>
          <w:color w:val="000000" w:themeColor="text1"/>
        </w:rPr>
        <w:t>Na vertente favorável, trabalhos acadêmicos e encomendados estimam multiplicadores superiores a 1, sugerindo que a renúncia tributária se compensa por produto e renda gerados no território, com encadeamentos e demanda por serviços industriais associados (HOLLAND; MANSANO; CAMPOS, 2019). Parte dessa literatura atribui à concentração urbana do PIM um efeito ambiental colateral, ao reter população e emprego na capital e reduzir pressões sobre áreas de floresta; o argumento dialoga com a Nova Geografia Econômica (economias de aglomeração, retornos crescentes) e com a tradição de encadeamentos (KRUGMAN, 1991; HIRSCHMAN, 1958), segundo as quais choques de política podem levar o sistema a novos equilíbrios de maior densidade produtiva.</w:t>
      </w:r>
    </w:p>
    <w:p w14:paraId="28EA512C" w14:textId="77777777" w:rsidR="00A064CE" w:rsidRDefault="00A064CE" w:rsidP="001609AF">
      <w:pPr>
        <w:ind w:firstLine="708"/>
        <w:rPr>
          <w:color w:val="000000" w:themeColor="text1"/>
        </w:rPr>
      </w:pPr>
      <w:r w:rsidRPr="00A064CE">
        <w:rPr>
          <w:color w:val="000000" w:themeColor="text1"/>
        </w:rPr>
        <w:t xml:space="preserve">Em sentido crítico, avaliações oficiais e de organismos multilaterais questionam a proporcionalidade entre custo fiscal e resultados socioeconômicos mensuráveis, apontam risco de </w:t>
      </w:r>
      <w:proofErr w:type="spellStart"/>
      <w:r w:rsidRPr="00A064CE">
        <w:rPr>
          <w:color w:val="000000" w:themeColor="text1"/>
        </w:rPr>
        <w:t>lock</w:t>
      </w:r>
      <w:proofErr w:type="spellEnd"/>
      <w:r w:rsidRPr="00A064CE">
        <w:rPr>
          <w:color w:val="000000" w:themeColor="text1"/>
        </w:rPr>
        <w:t xml:space="preserve">-in em segmentos de menor dinamismo tecnológico e recomendam recalibrar contrapartidas (PPB, P&amp;D) e foco em encadeamentos (TCU, 2022; BANCO MUNDIAL, 2023). Em evidência microeconômica, o </w:t>
      </w:r>
      <w:proofErr w:type="spellStart"/>
      <w:r w:rsidRPr="00A064CE">
        <w:rPr>
          <w:color w:val="000000" w:themeColor="text1"/>
        </w:rPr>
        <w:t>Climate</w:t>
      </w:r>
      <w:proofErr w:type="spellEnd"/>
      <w:r w:rsidRPr="00A064CE">
        <w:rPr>
          <w:color w:val="000000" w:themeColor="text1"/>
        </w:rPr>
        <w:t xml:space="preserve"> </w:t>
      </w:r>
      <w:proofErr w:type="spellStart"/>
      <w:r w:rsidRPr="00A064CE">
        <w:rPr>
          <w:color w:val="000000" w:themeColor="text1"/>
        </w:rPr>
        <w:t>Policy</w:t>
      </w:r>
      <w:proofErr w:type="spellEnd"/>
      <w:r w:rsidRPr="00A064CE">
        <w:rPr>
          <w:color w:val="000000" w:themeColor="text1"/>
        </w:rPr>
        <w:t xml:space="preserve"> </w:t>
      </w:r>
      <w:proofErr w:type="spellStart"/>
      <w:r w:rsidRPr="00A064CE">
        <w:rPr>
          <w:color w:val="000000" w:themeColor="text1"/>
        </w:rPr>
        <w:t>Initiative</w:t>
      </w:r>
      <w:proofErr w:type="spellEnd"/>
      <w:r w:rsidRPr="00A064CE">
        <w:rPr>
          <w:color w:val="000000" w:themeColor="text1"/>
        </w:rPr>
        <w:t xml:space="preserve"> não identifica “bônus de eficiência” das firmas do PIM frente a congêneres nacionais, tanto no exercício 2003–2015 (ASSUNÇÃO; HOLZ; SCHUTZE, 2020) quanto em atualização posterior (CPI/PUC-RIO, 2023). Em síntese, essa corrente reconhece a relevância </w:t>
      </w:r>
      <w:r w:rsidRPr="00A064CE">
        <w:rPr>
          <w:color w:val="000000" w:themeColor="text1"/>
        </w:rPr>
        <w:lastRenderedPageBreak/>
        <w:t>regional da ZFM, mas a considera fiscalmente cara e produtivamente modesta ante contrafactuais plausíveis.</w:t>
      </w:r>
    </w:p>
    <w:p w14:paraId="0F3D1020" w14:textId="77777777" w:rsidR="00A064CE" w:rsidRDefault="00A064CE" w:rsidP="001609AF">
      <w:pPr>
        <w:ind w:firstLine="708"/>
        <w:rPr>
          <w:color w:val="000000" w:themeColor="text1"/>
        </w:rPr>
      </w:pPr>
      <w:r w:rsidRPr="00A064CE">
        <w:rPr>
          <w:color w:val="000000" w:themeColor="text1"/>
        </w:rPr>
        <w:t>A terceira trilha — metodológica/empírica — discute como medir impactos e eficiência. Dois pontos se repetem: (i) a necessidade de granularidade setorial (comparar “iguais com iguais”), pois análises agregadas obscurecem heterogeneidade entre subsetores com tecnologias e escalas distintas (FERNANDES; MINORI; MORAIS, 2019; MORAIS, 2016); (</w:t>
      </w:r>
      <w:proofErr w:type="spellStart"/>
      <w:r w:rsidRPr="00A064CE">
        <w:rPr>
          <w:color w:val="000000" w:themeColor="text1"/>
        </w:rPr>
        <w:t>ii</w:t>
      </w:r>
      <w:proofErr w:type="spellEnd"/>
      <w:r w:rsidRPr="00A064CE">
        <w:rPr>
          <w:color w:val="000000" w:themeColor="text1"/>
        </w:rPr>
        <w:t>) o desenho de identificação (seleção na adesão ao regime, mensuração de gasto tributário e repasses, mudanças legais e choques macro). Nesse contexto, ganham espaço abordagens que organizam a heterogeneidade antes da avaliação (p. ex., clusterização por perfil produtivo), mensuram eficiência relativa na conversão de incentivos em resultados (p. ex., DEA) e acompanham a dinâmica intertemporal (p. ex., Índice de Malmquist). Embora a combinação dessas três peças ainda seja rara em ZFM, indícios consistentes apontam dispersão de eficiência entre subsetores e trajetórias não uniformes de produtividade no pós-2018.</w:t>
      </w:r>
    </w:p>
    <w:p w14:paraId="281FA405" w14:textId="77777777" w:rsidR="00A064CE" w:rsidRDefault="00A064CE" w:rsidP="001609AF">
      <w:pPr>
        <w:ind w:firstLine="708"/>
        <w:rPr>
          <w:color w:val="000000" w:themeColor="text1"/>
        </w:rPr>
      </w:pPr>
      <w:r w:rsidRPr="00A064CE">
        <w:rPr>
          <w:color w:val="000000" w:themeColor="text1"/>
        </w:rPr>
        <w:t xml:space="preserve">Parte relevante do debate recai sobre os instrumentos condicionantes dos incentivos. Os Processos Produtivos Básicos (PPB) buscam assegurar etapas mínimas de industrialização local, e a Lei de Informática (Lei nº 8.387/1991) vincula benefícios a dispêndios em P&amp;D. A avaliação de projetos de P&amp;D indica heterogeneidade de resultados frente a esforços semelhantes — isto é, gasto elegível não se traduz automaticamente em resultado tecnológico (CAVALCANTE, 2017; QUEIROZ FILHO, 2022). Em paralelo, permanece o desafio de adensar cadeias e elevar conteúdo local, dada a relevância de insumos importados em atividades de montagem — o que limita </w:t>
      </w:r>
      <w:proofErr w:type="spellStart"/>
      <w:r w:rsidRPr="00A064CE">
        <w:rPr>
          <w:color w:val="000000" w:themeColor="text1"/>
        </w:rPr>
        <w:t>spillovers</w:t>
      </w:r>
      <w:proofErr w:type="spellEnd"/>
      <w:r w:rsidRPr="00A064CE">
        <w:rPr>
          <w:color w:val="000000" w:themeColor="text1"/>
        </w:rPr>
        <w:t xml:space="preserve"> tecnológicos.</w:t>
      </w:r>
    </w:p>
    <w:p w14:paraId="38E44920" w14:textId="3CBE3469" w:rsidR="00A064CE" w:rsidRDefault="00A064CE" w:rsidP="001609AF">
      <w:pPr>
        <w:ind w:firstLine="708"/>
        <w:rPr>
          <w:color w:val="000000" w:themeColor="text1"/>
        </w:rPr>
      </w:pPr>
      <w:r w:rsidRPr="00A064CE">
        <w:rPr>
          <w:color w:val="000000" w:themeColor="text1"/>
        </w:rPr>
        <w:t>Outro eixo recorrente é o emprego. A literatura sobre automação mostra que ganhos de produtividade por trabalhador tendem a conviver com menor elasticidade do emprego em setores mais intensivos em capital e tecnologia, impondo um trade-off para políticas regionais com objetivos distributivos (ACEMOGLU; RESTREPO, 2019; DORN; HANSON, 2020). Na ZFM, a composição setorial e a evolução de CAPEX/emprego emergem como determinantes relevantes ao explicar diferenças de eficiência quando os outputs avaliados são valor adicionado ou postos de trabalho.</w:t>
      </w:r>
    </w:p>
    <w:p w14:paraId="70282336" w14:textId="77777777" w:rsidR="00A064CE" w:rsidRDefault="00A064CE" w:rsidP="001609AF">
      <w:pPr>
        <w:ind w:firstLine="708"/>
        <w:rPr>
          <w:color w:val="000000" w:themeColor="text1"/>
        </w:rPr>
      </w:pPr>
      <w:r w:rsidRPr="00A064CE">
        <w:rPr>
          <w:color w:val="000000" w:themeColor="text1"/>
        </w:rPr>
        <w:t xml:space="preserve">Em perspectiva, há consensos mínimos e dissensos substantivos. Converge-se quanto ao papel regional histórico da ZFM; diverge-se quanto ao custo-benefício marginal e à eficiência na conversão de incentivos em VA e emprego. A agenda recente desloca o foco de métricas agregadas (faturamento, emprego total) para indicadores de </w:t>
      </w:r>
      <w:r w:rsidRPr="00A064CE">
        <w:rPr>
          <w:color w:val="000000" w:themeColor="text1"/>
        </w:rPr>
        <w:lastRenderedPageBreak/>
        <w:t>eficiência e dinâmica com granularidade setorial, buscando mitigar heterogeneidade, seleção e mudanças legais. Esse deslocamento abre espaço para avaliações que combinem segmentação, fronteiras de eficiência e análise temporal, distinguindo (i) ineficiências gerenciais e de escala dentro de segmentos, (</w:t>
      </w:r>
      <w:proofErr w:type="spellStart"/>
      <w:r w:rsidRPr="00A064CE">
        <w:rPr>
          <w:color w:val="000000" w:themeColor="text1"/>
        </w:rPr>
        <w:t>ii</w:t>
      </w:r>
      <w:proofErr w:type="spellEnd"/>
      <w:r w:rsidRPr="00A064CE">
        <w:rPr>
          <w:color w:val="000000" w:themeColor="text1"/>
        </w:rPr>
        <w:t>) lacunas tecnológicas entre perfis produtivos e (</w:t>
      </w:r>
      <w:proofErr w:type="spellStart"/>
      <w:r w:rsidRPr="00A064CE">
        <w:rPr>
          <w:color w:val="000000" w:themeColor="text1"/>
        </w:rPr>
        <w:t>iii</w:t>
      </w:r>
      <w:proofErr w:type="spellEnd"/>
      <w:r w:rsidRPr="00A064CE">
        <w:rPr>
          <w:color w:val="000000" w:themeColor="text1"/>
        </w:rPr>
        <w:t>) o papel da automação e de demais covariáveis como determinantes da eficiência.</w:t>
      </w:r>
    </w:p>
    <w:p w14:paraId="2FEFEED6" w14:textId="251DEFAB" w:rsidR="00397B0E" w:rsidRDefault="00A064CE" w:rsidP="00B14852">
      <w:pPr>
        <w:ind w:firstLine="708"/>
        <w:rPr>
          <w:color w:val="000000" w:themeColor="text1"/>
        </w:rPr>
      </w:pPr>
      <w:r w:rsidRPr="00A064CE">
        <w:rPr>
          <w:color w:val="000000" w:themeColor="text1"/>
        </w:rPr>
        <w:t>À luz desse panorama, a próxima seção (3.4) sistematiza as lacunas remanescentes e explicita a contribuição que este estudo oferece para o debate sobre a ZFM.</w:t>
      </w:r>
    </w:p>
    <w:p w14:paraId="39C9A0FF" w14:textId="77777777" w:rsidR="00A064CE" w:rsidRDefault="00A064CE" w:rsidP="00B14852">
      <w:pPr>
        <w:ind w:firstLine="708"/>
        <w:rPr>
          <w:color w:val="000000" w:themeColor="text1"/>
        </w:rPr>
      </w:pPr>
    </w:p>
    <w:p w14:paraId="713B2554" w14:textId="773D9E3A" w:rsidR="001609AF" w:rsidRDefault="001609AF" w:rsidP="001609AF">
      <w:pPr>
        <w:pStyle w:val="Ttulo2"/>
      </w:pPr>
      <w:bookmarkStart w:id="19" w:name="_Toc210058171"/>
      <w:r w:rsidRPr="001609AF">
        <w:t xml:space="preserve">IDENTIFICAÇÃO DAS LACUNAS </w:t>
      </w:r>
      <w:r w:rsidR="00154D71">
        <w:t>E</w:t>
      </w:r>
      <w:r w:rsidRPr="001609AF">
        <w:t xml:space="preserve"> VALOR DA CONTRIBUIÇÃO</w:t>
      </w:r>
      <w:bookmarkEnd w:id="19"/>
      <w:r w:rsidRPr="001609AF">
        <w:t xml:space="preserve"> </w:t>
      </w:r>
    </w:p>
    <w:p w14:paraId="0513F344" w14:textId="77777777" w:rsidR="001609AF" w:rsidRPr="001609AF" w:rsidRDefault="001609AF" w:rsidP="001609AF"/>
    <w:p w14:paraId="5D682A9C" w14:textId="5337B3DC" w:rsidR="001609AF" w:rsidRDefault="006D562E" w:rsidP="001609AF">
      <w:pPr>
        <w:ind w:firstLine="708"/>
        <w:rPr>
          <w:color w:val="000000" w:themeColor="text1"/>
        </w:rPr>
      </w:pPr>
      <w:r w:rsidRPr="006D562E">
        <w:rPr>
          <w:color w:val="000000" w:themeColor="text1"/>
        </w:rPr>
        <w:t>A revisão das seções 3.1–3.3 evidencia lacunas recorrentes na avaliação da ZFM/PIM e, em paralelo, delimita o espaço de contribuição desta pesquisa. As lacunas e os correspondentes aportes organizam-se nos eixos abaixo</w:t>
      </w:r>
      <w:r w:rsidR="001609AF" w:rsidRPr="001609AF">
        <w:rPr>
          <w:color w:val="000000" w:themeColor="text1"/>
        </w:rPr>
        <w:t>:</w:t>
      </w:r>
    </w:p>
    <w:p w14:paraId="165CD148" w14:textId="77777777" w:rsidR="006D562E" w:rsidRDefault="006D562E" w:rsidP="006D562E">
      <w:pPr>
        <w:rPr>
          <w:color w:val="000000" w:themeColor="text1"/>
        </w:rPr>
      </w:pPr>
    </w:p>
    <w:p w14:paraId="4231E7A4" w14:textId="77777777" w:rsidR="006D562E" w:rsidRDefault="006D562E" w:rsidP="006D562E">
      <w:pPr>
        <w:pStyle w:val="PargrafodaLista"/>
        <w:numPr>
          <w:ilvl w:val="0"/>
          <w:numId w:val="25"/>
        </w:numPr>
        <w:rPr>
          <w:color w:val="000000" w:themeColor="text1"/>
        </w:rPr>
      </w:pPr>
      <w:r w:rsidRPr="006D562E">
        <w:rPr>
          <w:color w:val="000000" w:themeColor="text1"/>
        </w:rPr>
        <w:t>Granularidade e heterogeneidade setorial. Predominam comparações “em bloco” do PIM ou exercícios setoriais sem estratificação por perfis produtivos, o que induz viés de composição: tecnologias líderes “puxam” a fronteira e tornam menos informativos os contrastes com segmentos intensivos em trabalho.</w:t>
      </w:r>
    </w:p>
    <w:p w14:paraId="143C86E7" w14:textId="77777777" w:rsidR="006D562E" w:rsidRDefault="006D562E" w:rsidP="006D562E">
      <w:pPr>
        <w:pStyle w:val="PargrafodaLista"/>
        <w:numPr>
          <w:ilvl w:val="1"/>
          <w:numId w:val="25"/>
        </w:numPr>
        <w:rPr>
          <w:color w:val="000000" w:themeColor="text1"/>
        </w:rPr>
      </w:pPr>
      <w:r w:rsidRPr="006D562E">
        <w:rPr>
          <w:color w:val="000000" w:themeColor="text1"/>
        </w:rPr>
        <w:t xml:space="preserve">Contribuição: adoção de clusterização K-means com variáveis estruturais </w:t>
      </w:r>
      <w:proofErr w:type="spellStart"/>
      <w:r w:rsidRPr="006D562E">
        <w:rPr>
          <w:color w:val="000000" w:themeColor="text1"/>
        </w:rPr>
        <w:t>ex-ante</w:t>
      </w:r>
      <w:proofErr w:type="spellEnd"/>
      <w:r w:rsidRPr="006D562E">
        <w:rPr>
          <w:color w:val="000000" w:themeColor="text1"/>
        </w:rPr>
        <w:t xml:space="preserve"> (escala via VA; intensidade de capital via CAPEX/emprego; exposição relativa a incentivos; traços ocupacionais), formando grupos comparáveis antes da mensuração de eficiência e evitando vazamento de informação.</w:t>
      </w:r>
    </w:p>
    <w:p w14:paraId="555FE9DE" w14:textId="77777777" w:rsidR="006D562E" w:rsidRPr="006D562E" w:rsidRDefault="006D562E" w:rsidP="006D562E">
      <w:pPr>
        <w:pStyle w:val="PargrafodaLista"/>
        <w:numPr>
          <w:ilvl w:val="0"/>
          <w:numId w:val="25"/>
        </w:numPr>
        <w:rPr>
          <w:color w:val="000000" w:themeColor="text1"/>
        </w:rPr>
      </w:pPr>
      <w:r w:rsidRPr="006D562E">
        <w:rPr>
          <w:color w:val="000000" w:themeColor="text1"/>
        </w:rPr>
        <w:t>Métrica de eficiência alinhada ao problema de política. Parte da literatura usa insumos/outputs genéricos, sem espelhar diretamente o nexo incentivo → resultado.</w:t>
      </w:r>
    </w:p>
    <w:p w14:paraId="312A7F3D" w14:textId="77777777" w:rsidR="006D562E" w:rsidRDefault="006D562E" w:rsidP="006D562E">
      <w:pPr>
        <w:pStyle w:val="PargrafodaLista"/>
        <w:numPr>
          <w:ilvl w:val="1"/>
          <w:numId w:val="25"/>
        </w:numPr>
        <w:rPr>
          <w:color w:val="000000" w:themeColor="text1"/>
        </w:rPr>
      </w:pPr>
      <w:r w:rsidRPr="006D562E">
        <w:rPr>
          <w:color w:val="000000" w:themeColor="text1"/>
        </w:rPr>
        <w:t>Contribuição: especificação de DEA-VRS orientado a outputs, com incentivo fiscal como input e valor adicionado e empregos diretos como outputs, coerente com o objetivo público de converter renúncia em resultados econômicos e sociais.</w:t>
      </w:r>
    </w:p>
    <w:p w14:paraId="12E69AA0" w14:textId="77777777" w:rsidR="006D562E" w:rsidRPr="006D562E" w:rsidRDefault="006D562E" w:rsidP="006D562E">
      <w:pPr>
        <w:pStyle w:val="PargrafodaLista"/>
        <w:numPr>
          <w:ilvl w:val="0"/>
          <w:numId w:val="25"/>
        </w:numPr>
        <w:rPr>
          <w:color w:val="000000" w:themeColor="text1"/>
        </w:rPr>
      </w:pPr>
      <w:r w:rsidRPr="006D562E">
        <w:rPr>
          <w:color w:val="000000" w:themeColor="text1"/>
        </w:rPr>
        <w:t>Dinâmica intertemporal. Exercícios com Índice de Malmquist ainda são escassos e, quando existem, raramente desagregam por perfis produtivos.</w:t>
      </w:r>
    </w:p>
    <w:p w14:paraId="49E4CEBF" w14:textId="77777777" w:rsidR="006D562E" w:rsidRDefault="006D562E" w:rsidP="006D562E">
      <w:pPr>
        <w:pStyle w:val="PargrafodaLista"/>
        <w:numPr>
          <w:ilvl w:val="1"/>
          <w:numId w:val="25"/>
        </w:numPr>
        <w:rPr>
          <w:color w:val="000000" w:themeColor="text1"/>
        </w:rPr>
      </w:pPr>
      <w:r w:rsidRPr="006D562E">
        <w:rPr>
          <w:color w:val="000000" w:themeColor="text1"/>
        </w:rPr>
        <w:lastRenderedPageBreak/>
        <w:t>Contribuição: cálculo do Malmquist por cluster (2018–2023), distinguindo catch-</w:t>
      </w:r>
      <w:proofErr w:type="spellStart"/>
      <w:r w:rsidRPr="006D562E">
        <w:rPr>
          <w:color w:val="000000" w:themeColor="text1"/>
        </w:rPr>
        <w:t>up</w:t>
      </w:r>
      <w:proofErr w:type="spellEnd"/>
      <w:r w:rsidRPr="006D562E">
        <w:rPr>
          <w:color w:val="000000" w:themeColor="text1"/>
        </w:rPr>
        <w:t xml:space="preserve"> (eficiência relativa) de shift tecnológico (movimento da fronteira) e localizando quebras associadas a choques (p. ex., pandemia).</w:t>
      </w:r>
    </w:p>
    <w:p w14:paraId="78F163BD" w14:textId="22652758" w:rsidR="006D562E" w:rsidRPr="006D562E" w:rsidRDefault="006D562E" w:rsidP="006D562E">
      <w:pPr>
        <w:pStyle w:val="PargrafodaLista"/>
        <w:numPr>
          <w:ilvl w:val="0"/>
          <w:numId w:val="25"/>
        </w:numPr>
        <w:rPr>
          <w:color w:val="000000" w:themeColor="text1"/>
        </w:rPr>
      </w:pPr>
      <w:r>
        <w:rPr>
          <w:color w:val="000000" w:themeColor="text1"/>
        </w:rPr>
        <w:t>C</w:t>
      </w:r>
      <w:r w:rsidRPr="006D562E">
        <w:rPr>
          <w:color w:val="000000" w:themeColor="text1"/>
        </w:rPr>
        <w:t xml:space="preserve">omparabilidade entre tecnologias. Escores obtidos em fronteiras diferentes não são diretamente comparáveis; faltam aplicações que usem </w:t>
      </w:r>
      <w:proofErr w:type="spellStart"/>
      <w:r w:rsidRPr="006D562E">
        <w:rPr>
          <w:color w:val="000000" w:themeColor="text1"/>
        </w:rPr>
        <w:t>metafronteira</w:t>
      </w:r>
      <w:proofErr w:type="spellEnd"/>
      <w:r w:rsidRPr="006D562E">
        <w:rPr>
          <w:color w:val="000000" w:themeColor="text1"/>
        </w:rPr>
        <w:t xml:space="preserve"> e </w:t>
      </w:r>
      <w:proofErr w:type="spellStart"/>
      <w:r w:rsidRPr="006D562E">
        <w:rPr>
          <w:color w:val="000000" w:themeColor="text1"/>
        </w:rPr>
        <w:t>technology</w:t>
      </w:r>
      <w:proofErr w:type="spellEnd"/>
      <w:r w:rsidRPr="006D562E">
        <w:rPr>
          <w:color w:val="000000" w:themeColor="text1"/>
        </w:rPr>
        <w:t xml:space="preserve">-gap </w:t>
      </w:r>
      <w:proofErr w:type="spellStart"/>
      <w:r w:rsidRPr="006D562E">
        <w:rPr>
          <w:color w:val="000000" w:themeColor="text1"/>
        </w:rPr>
        <w:t>ratio</w:t>
      </w:r>
      <w:proofErr w:type="spellEnd"/>
      <w:r w:rsidRPr="006D562E">
        <w:rPr>
          <w:color w:val="000000" w:themeColor="text1"/>
        </w:rPr>
        <w:t xml:space="preserve"> (TGR) para separar diferenças tecnológicas (entre grupos) de ineficiências gerenciais (dentro do grupo).</w:t>
      </w:r>
    </w:p>
    <w:p w14:paraId="164AFC1C" w14:textId="77777777" w:rsidR="006D562E" w:rsidRDefault="006D562E" w:rsidP="006D562E">
      <w:pPr>
        <w:pStyle w:val="PargrafodaLista"/>
        <w:numPr>
          <w:ilvl w:val="1"/>
          <w:numId w:val="25"/>
        </w:numPr>
        <w:rPr>
          <w:color w:val="000000" w:themeColor="text1"/>
        </w:rPr>
      </w:pPr>
      <w:r w:rsidRPr="006D562E">
        <w:rPr>
          <w:color w:val="000000" w:themeColor="text1"/>
        </w:rPr>
        <w:t>Contribuição: quando a análise demandar contrastes entre grupos, uso do arcabouço de metafronteira/TGR (BATTESE; RAO; O’DONNELL, 2004; O’DONNELL; RAO; BATTESE, 2008) para qualificar lacunas tecnológicas sem confundi-las com eficiência técnica.</w:t>
      </w:r>
    </w:p>
    <w:p w14:paraId="46998FA1" w14:textId="77777777" w:rsidR="006D562E" w:rsidRPr="006D562E" w:rsidRDefault="006D562E" w:rsidP="006D562E">
      <w:pPr>
        <w:pStyle w:val="PargrafodaLista"/>
        <w:numPr>
          <w:ilvl w:val="0"/>
          <w:numId w:val="25"/>
        </w:numPr>
        <w:rPr>
          <w:color w:val="000000" w:themeColor="text1"/>
        </w:rPr>
      </w:pPr>
      <w:r w:rsidRPr="006D562E">
        <w:rPr>
          <w:color w:val="000000" w:themeColor="text1"/>
        </w:rPr>
        <w:t>Determinantes da eficiência e automação. A relação entre automação e resultados costuma ser tratada de forma descritiva; faltam testes com inferência apropriada à natureza dos escores.</w:t>
      </w:r>
    </w:p>
    <w:p w14:paraId="69EE6E1C" w14:textId="77777777" w:rsidR="006D562E" w:rsidRDefault="006D562E" w:rsidP="006D562E">
      <w:pPr>
        <w:pStyle w:val="PargrafodaLista"/>
        <w:numPr>
          <w:ilvl w:val="1"/>
          <w:numId w:val="25"/>
        </w:numPr>
        <w:rPr>
          <w:color w:val="000000" w:themeColor="text1"/>
        </w:rPr>
      </w:pPr>
      <w:r w:rsidRPr="006D562E">
        <w:rPr>
          <w:color w:val="000000" w:themeColor="text1"/>
        </w:rPr>
        <w:t xml:space="preserve">Contribuição: teste formal, em segunda etapa, da hipótese do trade-off da automação (CAPEX/emprego): efeito positivo sobre eficiência em VA e negativo sobre eficiência em empregos. Procedimento de </w:t>
      </w:r>
      <w:proofErr w:type="spellStart"/>
      <w:r w:rsidRPr="006D562E">
        <w:rPr>
          <w:color w:val="000000" w:themeColor="text1"/>
        </w:rPr>
        <w:t>Simar</w:t>
      </w:r>
      <w:proofErr w:type="spellEnd"/>
      <w:r w:rsidRPr="006D562E">
        <w:rPr>
          <w:color w:val="000000" w:themeColor="text1"/>
        </w:rPr>
        <w:t>–Wilson (</w:t>
      </w:r>
      <w:proofErr w:type="spellStart"/>
      <w:r w:rsidRPr="006D562E">
        <w:rPr>
          <w:color w:val="000000" w:themeColor="text1"/>
        </w:rPr>
        <w:t>bootstrap</w:t>
      </w:r>
      <w:proofErr w:type="spellEnd"/>
      <w:r w:rsidRPr="006D562E">
        <w:rPr>
          <w:color w:val="000000" w:themeColor="text1"/>
        </w:rPr>
        <w:t>/</w:t>
      </w:r>
      <w:proofErr w:type="spellStart"/>
      <w:r w:rsidRPr="006D562E">
        <w:rPr>
          <w:color w:val="000000" w:themeColor="text1"/>
        </w:rPr>
        <w:t>truncated</w:t>
      </w:r>
      <w:proofErr w:type="spellEnd"/>
      <w:r w:rsidRPr="006D562E">
        <w:rPr>
          <w:color w:val="000000" w:themeColor="text1"/>
        </w:rPr>
        <w:t>) para inferência válida com escores de DEA (SIMAR; WILSON, 2007).</w:t>
      </w:r>
    </w:p>
    <w:p w14:paraId="123C2CDF" w14:textId="77777777" w:rsidR="008F0A71" w:rsidRDefault="008F0A71" w:rsidP="00D446D6">
      <w:pPr>
        <w:ind w:firstLine="708"/>
        <w:rPr>
          <w:color w:val="000000" w:themeColor="text1"/>
        </w:rPr>
      </w:pPr>
      <w:r>
        <w:rPr>
          <w:color w:val="000000" w:themeColor="text1"/>
        </w:rPr>
        <w:br/>
      </w:r>
      <w:r w:rsidRPr="008F0A71">
        <w:rPr>
          <w:color w:val="000000" w:themeColor="text1"/>
        </w:rPr>
        <w:t>O desenho proposto articula, em coerência com a política, uma métrica de eficiência que toma o incentivo fiscal como input e valor adicionado e emprego como outputs. A segmentação prévia por K-means reduz vieses de composição e permite estimar eficiência entre unidades tecnologicamente semelhantes. O Índice de Malmquist acrescenta a dimensão temporal, distinguindo ganhos por catch-</w:t>
      </w:r>
      <w:proofErr w:type="spellStart"/>
      <w:r w:rsidRPr="008F0A71">
        <w:rPr>
          <w:color w:val="000000" w:themeColor="text1"/>
        </w:rPr>
        <w:t>up</w:t>
      </w:r>
      <w:proofErr w:type="spellEnd"/>
      <w:r w:rsidRPr="008F0A71">
        <w:rPr>
          <w:color w:val="000000" w:themeColor="text1"/>
        </w:rPr>
        <w:t xml:space="preserve"> (gestão) de deslocamentos da fronteira (shift), base para calibrar contrapartidas como PPB e P&amp;D. Quando necessário, a metafronteira qualifica diferenças entre grupos como lacunas tecnológicas, não simples ineficiências. A segunda etapa de inferência (Simar–Wilson) testa, com rigor, a hipótese de que a automação (CAPEX/emprego) afeta de modo assimétrico a eficiência em valor e em postos. Todo o procedimento segue protocolo explícito de robustez e replicabilidade — critérios de K, inicialização, padronização e massa crítica por cluster — para facilitar escrutínio e atualização.</w:t>
      </w:r>
    </w:p>
    <w:p w14:paraId="29670C2D" w14:textId="4D8C1631" w:rsidR="00397B0E" w:rsidRDefault="00D446D6" w:rsidP="00D446D6">
      <w:pPr>
        <w:ind w:firstLine="708"/>
        <w:rPr>
          <w:color w:val="000000" w:themeColor="text1"/>
        </w:rPr>
      </w:pPr>
      <w:r w:rsidRPr="00D446D6">
        <w:rPr>
          <w:color w:val="000000" w:themeColor="text1"/>
        </w:rPr>
        <w:lastRenderedPageBreak/>
        <w:t>Em conjunto, essa arquitetura — segmentação, DEA-VRS orientado a produto, Malmquist e inferência adequada sobre determinantes, aplicada a um painel harmonizado 2018–2023 de SUFRAMA, Receita Federal e RAIS — responde diretamente às fragilidades identificadas na literatura: mede o que importa para a política, compara “iguais com iguais”, acompanha a trajetória no tempo e separa, com clareza, ineficiência gerencial, escala subótima e gap tecnológico. O resultado esperado é um diagnóstico mais granular e comparável, com utilidade prática para revisão de critérios de alocação de incentivos e para o monitoramento contínuo de resultados. Os detalhes operacionais dessa estratégia serão apresentados no capítulo metodológico subsequente.</w:t>
      </w:r>
    </w:p>
    <w:p w14:paraId="5B83DAD8" w14:textId="77777777" w:rsidR="00EB5466" w:rsidRDefault="00EB5466" w:rsidP="00433A31">
      <w:pPr>
        <w:rPr>
          <w:color w:val="000000" w:themeColor="text1"/>
        </w:rPr>
      </w:pPr>
    </w:p>
    <w:p w14:paraId="059B7057" w14:textId="18E67AF6" w:rsidR="00433A31" w:rsidRPr="00397B0E" w:rsidRDefault="00433A31" w:rsidP="00433A31">
      <w:pPr>
        <w:pStyle w:val="Ttulo1"/>
        <w:ind w:left="284" w:hanging="284"/>
      </w:pPr>
      <w:bookmarkStart w:id="20" w:name="_Toc210058172"/>
      <w:r>
        <w:t>METODOLOGIA</w:t>
      </w:r>
      <w:bookmarkEnd w:id="20"/>
      <w:r>
        <w:t xml:space="preserve"> </w:t>
      </w:r>
    </w:p>
    <w:p w14:paraId="37316C55" w14:textId="77777777" w:rsidR="00433A31" w:rsidRPr="00397B0E" w:rsidRDefault="00433A31" w:rsidP="00433A31">
      <w:pPr>
        <w:rPr>
          <w:color w:val="000000" w:themeColor="text1"/>
        </w:rPr>
      </w:pPr>
    </w:p>
    <w:p w14:paraId="7E15D197" w14:textId="0755D70F" w:rsidR="00433A31" w:rsidRPr="00433A31" w:rsidRDefault="00433A31" w:rsidP="00433A31">
      <w:pPr>
        <w:pStyle w:val="Ttulo2"/>
      </w:pPr>
      <w:bookmarkStart w:id="21" w:name="_Toc210058173"/>
      <w:r w:rsidRPr="00433A31">
        <w:t>TIPO E DELINEAMENTO DO ESTUDO</w:t>
      </w:r>
      <w:bookmarkEnd w:id="21"/>
    </w:p>
    <w:p w14:paraId="26169075" w14:textId="77777777" w:rsidR="00433A31" w:rsidRPr="00433A31" w:rsidRDefault="00433A31" w:rsidP="00433A31"/>
    <w:p w14:paraId="5EEF07F7" w14:textId="78AE0F78" w:rsidR="00433A31" w:rsidRPr="00433A31" w:rsidRDefault="00433A31" w:rsidP="00D446D6">
      <w:pPr>
        <w:ind w:firstLine="708"/>
        <w:rPr>
          <w:color w:val="000000" w:themeColor="text1"/>
        </w:rPr>
      </w:pPr>
      <w:r w:rsidRPr="00433A31">
        <w:rPr>
          <w:color w:val="000000" w:themeColor="text1"/>
        </w:rPr>
        <w:t>Trata-se de uma pesquisa empírica, quantitativa, de base documental, construída a partir de microdados e agregados oficiais de SUFRAMA, Receita Federal do Brasil e RAIS. O desenho é longitudinal em painel (2018–2023), com unidades de análise (</w:t>
      </w:r>
      <w:proofErr w:type="spellStart"/>
      <w:r w:rsidRPr="00433A31">
        <w:rPr>
          <w:color w:val="000000" w:themeColor="text1"/>
        </w:rPr>
        <w:t>DMUs</w:t>
      </w:r>
      <w:proofErr w:type="spellEnd"/>
      <w:r w:rsidRPr="00433A31">
        <w:rPr>
          <w:color w:val="000000" w:themeColor="text1"/>
        </w:rPr>
        <w:t>) definidas como subsetores do Polo Industrial de Manaus (PIM) observados anualmente. O recorte encerra-se em 2023 porque a RAIS 2024 ainda não se encontra consolidada para garantir comparabilidade intertemporal.</w:t>
      </w:r>
    </w:p>
    <w:p w14:paraId="54C82A63" w14:textId="68F5BAFC" w:rsidR="00433A31" w:rsidRDefault="00433A31" w:rsidP="00C85AFA">
      <w:pPr>
        <w:ind w:firstLine="708"/>
        <w:rPr>
          <w:color w:val="000000" w:themeColor="text1"/>
        </w:rPr>
      </w:pPr>
      <w:r w:rsidRPr="00433A31">
        <w:rPr>
          <w:color w:val="000000" w:themeColor="text1"/>
        </w:rPr>
        <w:t>O objetivo operacional é mensurar a eficiência relativa na conversão do incentivo fiscal em valor adicionado e emprego, controlando a heterogeneidade produtiva entre subsetores. Em termos formais, para cada subsetor i e ano t:</w:t>
      </w:r>
    </w:p>
    <w:p w14:paraId="158A2F22" w14:textId="77777777" w:rsidR="00C85AFA" w:rsidRPr="00433A31" w:rsidRDefault="00C85AFA" w:rsidP="00C85AFA">
      <w:pPr>
        <w:ind w:firstLine="708"/>
        <w:rPr>
          <w:color w:val="000000" w:themeColor="text1"/>
        </w:rPr>
      </w:pPr>
    </w:p>
    <w:p w14:paraId="521C4290" w14:textId="19E1D8DD" w:rsidR="00433A31" w:rsidRPr="00433A31" w:rsidRDefault="00433A31" w:rsidP="00433A31">
      <w:pPr>
        <w:numPr>
          <w:ilvl w:val="0"/>
          <w:numId w:val="26"/>
        </w:numPr>
        <w:rPr>
          <w:color w:val="000000" w:themeColor="text1"/>
        </w:rPr>
      </w:pPr>
      <w:r w:rsidRPr="00433A31">
        <w:rPr>
          <w:color w:val="000000" w:themeColor="text1"/>
        </w:rPr>
        <w:t xml:space="preserve">Input (DEA): </w:t>
      </w:r>
      <m:oMath>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I</m:t>
                </m:r>
              </m:e>
              <m:sub>
                <m:d>
                  <m:dPr>
                    <m:begChr m:val="{"/>
                    <m:endChr m:val="}"/>
                    <m:ctrlPr>
                      <w:rPr>
                        <w:rFonts w:ascii="Cambria Math" w:hAnsi="Cambria Math"/>
                        <w:i/>
                        <w:color w:val="000000" w:themeColor="text1"/>
                      </w:rPr>
                    </m:ctrlPr>
                  </m:dPr>
                  <m:e>
                    <m:r>
                      <w:rPr>
                        <w:rFonts w:ascii="Cambria Math" w:hAnsi="Cambria Math"/>
                        <w:color w:val="000000" w:themeColor="text1"/>
                      </w:rPr>
                      <m:t>i,t</m:t>
                    </m:r>
                  </m:e>
                </m:d>
              </m:sub>
            </m:sSub>
          </m:e>
        </m:d>
      </m:oMath>
      <w:r w:rsidRPr="00433A31">
        <w:rPr>
          <w:color w:val="000000" w:themeColor="text1"/>
        </w:rPr>
        <w:t xml:space="preserve"> = incentivo fiscal (R$).</w:t>
      </w:r>
    </w:p>
    <w:p w14:paraId="21326B3A" w14:textId="7937EFC1" w:rsidR="00433A31" w:rsidRPr="00433A31" w:rsidRDefault="00433A31" w:rsidP="00433A31">
      <w:pPr>
        <w:numPr>
          <w:ilvl w:val="0"/>
          <w:numId w:val="26"/>
        </w:numPr>
        <w:rPr>
          <w:color w:val="000000" w:themeColor="text1"/>
        </w:rPr>
      </w:pPr>
      <w:r w:rsidRPr="00433A31">
        <w:rPr>
          <w:color w:val="000000" w:themeColor="text1"/>
        </w:rPr>
        <w:t xml:space="preserve">Outputs (DEA): </w:t>
      </w:r>
      <m:oMath>
        <m:d>
          <m:dPr>
            <m:ctrlPr>
              <w:rPr>
                <w:rFonts w:ascii="Cambria Math" w:eastAsiaTheme="minorEastAsia" w:hAnsi="Cambria Math"/>
                <w:i/>
                <w:color w:val="000000" w:themeColor="text1"/>
              </w:rPr>
            </m:ctrlPr>
          </m:dPr>
          <m:e>
            <m:r>
              <w:rPr>
                <w:rFonts w:ascii="Cambria Math" w:eastAsiaTheme="minorEastAsia" w:hAnsi="Cambria Math"/>
                <w:color w:val="000000" w:themeColor="text1"/>
              </w:rPr>
              <m:t>V</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i,t</m:t>
                    </m:r>
                  </m:e>
                </m:d>
              </m:sub>
            </m:sSub>
          </m:e>
        </m:d>
      </m:oMath>
      <w:r w:rsidRPr="00433A31">
        <w:rPr>
          <w:color w:val="000000" w:themeColor="text1"/>
        </w:rPr>
        <w:t xml:space="preserve"> = valor adicionado (R$); </w:t>
      </w:r>
      <m:oMath>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E</m:t>
                </m:r>
              </m:e>
              <m:sub>
                <m:d>
                  <m:dPr>
                    <m:begChr m:val="{"/>
                    <m:endChr m:val="}"/>
                    <m:ctrlPr>
                      <w:rPr>
                        <w:rFonts w:ascii="Cambria Math" w:hAnsi="Cambria Math"/>
                        <w:i/>
                        <w:color w:val="000000" w:themeColor="text1"/>
                      </w:rPr>
                    </m:ctrlPr>
                  </m:dPr>
                  <m:e>
                    <m:r>
                      <w:rPr>
                        <w:rFonts w:ascii="Cambria Math" w:hAnsi="Cambria Math"/>
                        <w:color w:val="000000" w:themeColor="text1"/>
                      </w:rPr>
                      <m:t>i,t</m:t>
                    </m:r>
                  </m:e>
                </m:d>
              </m:sub>
            </m:sSub>
          </m:e>
        </m:d>
      </m:oMath>
      <w:r w:rsidRPr="00433A31">
        <w:rPr>
          <w:color w:val="000000" w:themeColor="text1"/>
        </w:rPr>
        <w:t xml:space="preserve"> = empregos diretos (pessoas).</w:t>
      </w:r>
    </w:p>
    <w:p w14:paraId="324D4CF4" w14:textId="4CCDC7E4" w:rsidR="00C85AFA" w:rsidRDefault="00433A31" w:rsidP="00C85AFA">
      <w:pPr>
        <w:numPr>
          <w:ilvl w:val="0"/>
          <w:numId w:val="26"/>
        </w:numPr>
        <w:rPr>
          <w:color w:val="000000" w:themeColor="text1"/>
        </w:rPr>
      </w:pPr>
      <w:r w:rsidRPr="00433A31">
        <w:rPr>
          <w:color w:val="000000" w:themeColor="text1"/>
        </w:rPr>
        <w:t>Determinante central (2ª etapa): automação</w:t>
      </w:r>
      <w:r w:rsidR="00AD6095">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i,t</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CAPE</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i,t</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i,t</m:t>
                </m:r>
              </m:sub>
            </m:sSub>
            <m:ctrlPr>
              <w:rPr>
                <w:rFonts w:ascii="Cambria Math" w:hAnsi="Cambria Math"/>
                <w:i/>
                <w:color w:val="000000" w:themeColor="text1"/>
              </w:rPr>
            </m:ctrlPr>
          </m:den>
        </m:f>
      </m:oMath>
      <w:r w:rsidR="00AD6095">
        <w:rPr>
          <w:color w:val="000000" w:themeColor="text1"/>
        </w:rPr>
        <w:t xml:space="preserve"> </w:t>
      </w:r>
      <w:r w:rsidRPr="00433A31">
        <w:rPr>
          <w:color w:val="000000" w:themeColor="text1"/>
        </w:rPr>
        <w:t xml:space="preserve">onde </w:t>
      </w:r>
      <m:oMath>
        <m:d>
          <m:dPr>
            <m:ctrlPr>
              <w:rPr>
                <w:rFonts w:ascii="Cambria Math" w:hAnsi="Cambria Math"/>
                <w:i/>
                <w:color w:val="000000" w:themeColor="text1"/>
              </w:rPr>
            </m:ctrlPr>
          </m:dPr>
          <m:e>
            <m:r>
              <w:rPr>
                <w:rFonts w:ascii="Cambria Math" w:hAnsi="Cambria Math"/>
                <w:color w:val="000000" w:themeColor="text1"/>
              </w:rPr>
              <m:t>CAPE</m:t>
            </m:r>
            <m:sSub>
              <m:sSubPr>
                <m:ctrlPr>
                  <w:rPr>
                    <w:rFonts w:ascii="Cambria Math" w:hAnsi="Cambria Math"/>
                    <w:i/>
                    <w:color w:val="000000" w:themeColor="text1"/>
                  </w:rPr>
                </m:ctrlPr>
              </m:sSubPr>
              <m:e>
                <m:r>
                  <w:rPr>
                    <w:rFonts w:ascii="Cambria Math" w:hAnsi="Cambria Math"/>
                    <w:color w:val="000000" w:themeColor="text1"/>
                  </w:rPr>
                  <m:t>X</m:t>
                </m:r>
              </m:e>
              <m:sub>
                <m:d>
                  <m:dPr>
                    <m:begChr m:val="{"/>
                    <m:endChr m:val="}"/>
                    <m:ctrlPr>
                      <w:rPr>
                        <w:rFonts w:ascii="Cambria Math" w:hAnsi="Cambria Math"/>
                        <w:i/>
                        <w:color w:val="000000" w:themeColor="text1"/>
                      </w:rPr>
                    </m:ctrlPr>
                  </m:dPr>
                  <m:e>
                    <m:r>
                      <w:rPr>
                        <w:rFonts w:ascii="Cambria Math" w:hAnsi="Cambria Math"/>
                        <w:color w:val="000000" w:themeColor="text1"/>
                      </w:rPr>
                      <m:t>i,t</m:t>
                    </m:r>
                  </m:e>
                </m:d>
              </m:sub>
            </m:sSub>
          </m:e>
        </m:d>
      </m:oMath>
      <w:r w:rsidRPr="00433A31">
        <w:rPr>
          <w:color w:val="000000" w:themeColor="text1"/>
        </w:rPr>
        <w:t xml:space="preserve"> é o ativo imobilizado (máquinas e equipamentos).</w:t>
      </w:r>
    </w:p>
    <w:p w14:paraId="29A81547" w14:textId="77777777" w:rsidR="00C85AFA" w:rsidRPr="00C85AFA" w:rsidRDefault="00C85AFA" w:rsidP="00C85AFA">
      <w:pPr>
        <w:ind w:left="720"/>
        <w:rPr>
          <w:color w:val="000000" w:themeColor="text1"/>
        </w:rPr>
      </w:pPr>
    </w:p>
    <w:p w14:paraId="3EAD1403" w14:textId="4B43EAA0" w:rsidR="00433A31" w:rsidRPr="00433A31" w:rsidRDefault="00433A31" w:rsidP="00DC36E8">
      <w:pPr>
        <w:rPr>
          <w:color w:val="000000" w:themeColor="text1"/>
        </w:rPr>
      </w:pPr>
      <w:r w:rsidRPr="00433A31">
        <w:rPr>
          <w:color w:val="000000" w:themeColor="text1"/>
        </w:rPr>
        <w:t>A estratégia empírica segue um fluxo em três estágios, com um quarto de inferência:</w:t>
      </w:r>
      <w:r w:rsidR="00C85AFA">
        <w:rPr>
          <w:color w:val="000000" w:themeColor="text1"/>
        </w:rPr>
        <w:br/>
      </w:r>
    </w:p>
    <w:p w14:paraId="10E594AE" w14:textId="77777777" w:rsidR="00433A31" w:rsidRPr="00433A31" w:rsidRDefault="00433A31" w:rsidP="00433A31">
      <w:pPr>
        <w:numPr>
          <w:ilvl w:val="0"/>
          <w:numId w:val="27"/>
        </w:numPr>
        <w:rPr>
          <w:color w:val="000000" w:themeColor="text1"/>
        </w:rPr>
      </w:pPr>
      <w:r w:rsidRPr="00433A31">
        <w:rPr>
          <w:color w:val="000000" w:themeColor="text1"/>
        </w:rPr>
        <w:lastRenderedPageBreak/>
        <w:t>Segmentação prévia (K-means) para agrupar subsetores em perfis produtivos comparáveis (escala, intensidade de capital, exposição a incentivos etc.), evitando “vazamento” de informação: variáveis que serão outputs do DEA não entram na clusterização.</w:t>
      </w:r>
    </w:p>
    <w:p w14:paraId="528585AA" w14:textId="77777777" w:rsidR="00433A31" w:rsidRPr="00433A31" w:rsidRDefault="00433A31" w:rsidP="00433A31">
      <w:pPr>
        <w:numPr>
          <w:ilvl w:val="0"/>
          <w:numId w:val="27"/>
        </w:numPr>
        <w:rPr>
          <w:color w:val="000000" w:themeColor="text1"/>
        </w:rPr>
      </w:pPr>
      <w:r w:rsidRPr="00433A31">
        <w:rPr>
          <w:color w:val="000000" w:themeColor="text1"/>
        </w:rPr>
        <w:t xml:space="preserve">DEA sob retornos variáveis de escala (VRS), orientado a outputs, estimado dentro de cada cluster, com (I) como input e ((VA,E)) como outputs, produzindo escores, </w:t>
      </w:r>
      <w:r w:rsidRPr="00433A31">
        <w:rPr>
          <w:i/>
          <w:iCs/>
          <w:color w:val="000000" w:themeColor="text1"/>
        </w:rPr>
        <w:t>slacks</w:t>
      </w:r>
      <w:r w:rsidRPr="00433A31">
        <w:rPr>
          <w:color w:val="000000" w:themeColor="text1"/>
        </w:rPr>
        <w:t xml:space="preserve"> e unidades de referência (benchmarks).</w:t>
      </w:r>
    </w:p>
    <w:p w14:paraId="6765BC46" w14:textId="77777777" w:rsidR="00433A31" w:rsidRPr="00433A31" w:rsidRDefault="00433A31" w:rsidP="00433A31">
      <w:pPr>
        <w:numPr>
          <w:ilvl w:val="0"/>
          <w:numId w:val="27"/>
        </w:numPr>
        <w:rPr>
          <w:color w:val="000000" w:themeColor="text1"/>
        </w:rPr>
      </w:pPr>
      <w:r w:rsidRPr="00433A31">
        <w:rPr>
          <w:color w:val="000000" w:themeColor="text1"/>
        </w:rPr>
        <w:t>Índice de Malmquist (PTF) por cluster para 2018–2023, decomposto em catch-</w:t>
      </w:r>
      <w:proofErr w:type="spellStart"/>
      <w:r w:rsidRPr="00433A31">
        <w:rPr>
          <w:color w:val="000000" w:themeColor="text1"/>
        </w:rPr>
        <w:t>up</w:t>
      </w:r>
      <w:proofErr w:type="spellEnd"/>
      <w:r w:rsidRPr="00433A31">
        <w:rPr>
          <w:color w:val="000000" w:themeColor="text1"/>
        </w:rPr>
        <w:t xml:space="preserve"> (mudança de eficiência) e shift tecnológico (movimento da fronteira).</w:t>
      </w:r>
    </w:p>
    <w:p w14:paraId="44F4AA63" w14:textId="57F23EDA" w:rsidR="00433A31" w:rsidRDefault="00433A31" w:rsidP="00433A31">
      <w:pPr>
        <w:numPr>
          <w:ilvl w:val="0"/>
          <w:numId w:val="27"/>
        </w:numPr>
        <w:rPr>
          <w:color w:val="000000" w:themeColor="text1"/>
        </w:rPr>
      </w:pPr>
      <w:r w:rsidRPr="00433A31">
        <w:rPr>
          <w:color w:val="000000" w:themeColor="text1"/>
        </w:rPr>
        <w:t xml:space="preserve">Segunda etapa (Simar–Wilson) para testar o papel de </w:t>
      </w:r>
      <m:oMath>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A</m:t>
                </m:r>
              </m:e>
              <m:sub>
                <m:d>
                  <m:dPr>
                    <m:begChr m:val="{"/>
                    <m:endChr m:val="}"/>
                    <m:ctrlPr>
                      <w:rPr>
                        <w:rFonts w:ascii="Cambria Math" w:hAnsi="Cambria Math"/>
                        <w:i/>
                        <w:color w:val="000000" w:themeColor="text1"/>
                      </w:rPr>
                    </m:ctrlPr>
                  </m:dPr>
                  <m:e>
                    <m:r>
                      <w:rPr>
                        <w:rFonts w:ascii="Cambria Math" w:hAnsi="Cambria Math"/>
                        <w:color w:val="000000" w:themeColor="text1"/>
                      </w:rPr>
                      <m:t>i,t</m:t>
                    </m:r>
                  </m:e>
                </m:d>
              </m:sub>
            </m:sSub>
          </m:e>
        </m:d>
      </m:oMath>
      <w:r w:rsidRPr="00433A31">
        <w:rPr>
          <w:color w:val="000000" w:themeColor="text1"/>
        </w:rPr>
        <w:t xml:space="preserve"> (automação) sobre os escores (hipótese de trade-off: ganhos de eficiência em (VA) e perdas em (E)). Quando necessário comparar grupos entre si, recorre-se à metafronteira e ao Technology-Gap Ratio (TGR) para distinguir lacunas tecnológicas de ineficiências gerenciais.</w:t>
      </w:r>
    </w:p>
    <w:p w14:paraId="0C170A4D" w14:textId="77777777" w:rsidR="00EB5466" w:rsidRPr="00433A31" w:rsidRDefault="00EB5466" w:rsidP="00433A31">
      <w:pPr>
        <w:ind w:left="720"/>
        <w:rPr>
          <w:color w:val="000000" w:themeColor="text1"/>
        </w:rPr>
      </w:pPr>
    </w:p>
    <w:p w14:paraId="15E7C0DF" w14:textId="77777777" w:rsidR="00EB5466" w:rsidRDefault="00433A31" w:rsidP="00EB5466">
      <w:pPr>
        <w:rPr>
          <w:color w:val="000000" w:themeColor="text1"/>
        </w:rPr>
      </w:pPr>
      <w:r w:rsidRPr="00C85AFA">
        <w:rPr>
          <w:color w:val="000000" w:themeColor="text1"/>
        </w:rPr>
        <w:t>Pergunta de pesquisa operacionalizada</w:t>
      </w:r>
      <w:r w:rsidR="00C85AFA">
        <w:rPr>
          <w:color w:val="000000" w:themeColor="text1"/>
        </w:rPr>
        <w:t>:</w:t>
      </w:r>
      <w:r w:rsidR="00EB5466">
        <w:rPr>
          <w:color w:val="000000" w:themeColor="text1"/>
        </w:rPr>
        <w:t xml:space="preserve"> </w:t>
      </w:r>
    </w:p>
    <w:p w14:paraId="79397373" w14:textId="49C14102" w:rsidR="00433A31" w:rsidRPr="00EB5466" w:rsidRDefault="00433A31" w:rsidP="00EB5466">
      <w:pPr>
        <w:pStyle w:val="PargrafodaLista"/>
        <w:numPr>
          <w:ilvl w:val="0"/>
          <w:numId w:val="36"/>
        </w:numPr>
        <w:rPr>
          <w:color w:val="000000" w:themeColor="text1"/>
        </w:rPr>
      </w:pPr>
      <w:r w:rsidRPr="00EB5466">
        <w:rPr>
          <w:color w:val="000000" w:themeColor="text1"/>
        </w:rPr>
        <w:t>Como a heterogeneidade produtiva dos subsetores do PIM afeta a eficiência de conversão do incentivo (I) em (VA) e (E) no período 2018–2023, e quais segmentos exibem maior ineficiência relativa em 2023?</w:t>
      </w:r>
    </w:p>
    <w:p w14:paraId="5FC6A7BB" w14:textId="252FF4DB" w:rsidR="00433A31" w:rsidRPr="00C85AFA" w:rsidRDefault="00433A31" w:rsidP="00DC36E8">
      <w:pPr>
        <w:rPr>
          <w:color w:val="000000" w:themeColor="text1"/>
        </w:rPr>
      </w:pPr>
      <w:r w:rsidRPr="00C85AFA">
        <w:rPr>
          <w:color w:val="000000" w:themeColor="text1"/>
        </w:rPr>
        <w:br/>
        <w:t>Hipótese testável</w:t>
      </w:r>
      <w:r w:rsidR="00C85AFA">
        <w:rPr>
          <w:color w:val="000000" w:themeColor="text1"/>
        </w:rPr>
        <w:t>:</w:t>
      </w:r>
    </w:p>
    <w:p w14:paraId="2C0EFAAA" w14:textId="786F4568" w:rsidR="00433A31" w:rsidRPr="00EB5466" w:rsidRDefault="00433A31" w:rsidP="00EB5466">
      <w:pPr>
        <w:pStyle w:val="PargrafodaLista"/>
        <w:numPr>
          <w:ilvl w:val="0"/>
          <w:numId w:val="36"/>
        </w:numPr>
        <w:rPr>
          <w:color w:val="000000" w:themeColor="text1"/>
        </w:rPr>
      </w:pPr>
      <w:r w:rsidRPr="00EB5466">
        <w:rPr>
          <w:color w:val="000000" w:themeColor="text1"/>
        </w:rPr>
        <w:t>Maior automação ((A)) está associada a maior eficiência na conversão em (VA) e a menor eficiência na conversão em (E).</w:t>
      </w:r>
    </w:p>
    <w:p w14:paraId="02DCB784" w14:textId="77777777" w:rsidR="00433A31" w:rsidRPr="00C85AFA" w:rsidRDefault="00433A31" w:rsidP="00433A31">
      <w:pPr>
        <w:ind w:firstLine="708"/>
        <w:rPr>
          <w:color w:val="000000" w:themeColor="text1"/>
        </w:rPr>
      </w:pPr>
    </w:p>
    <w:p w14:paraId="0F21B65C" w14:textId="3BD1359F" w:rsidR="00433A31" w:rsidRPr="00C85AFA" w:rsidRDefault="00433A31" w:rsidP="00433A31">
      <w:pPr>
        <w:rPr>
          <w:color w:val="000000" w:themeColor="text1"/>
        </w:rPr>
      </w:pPr>
      <w:r w:rsidRPr="00C85AFA">
        <w:rPr>
          <w:color w:val="000000" w:themeColor="text1"/>
        </w:rPr>
        <w:t>Reprodutibilidade e transparência</w:t>
      </w:r>
      <w:r w:rsidR="00C85AFA">
        <w:rPr>
          <w:color w:val="000000" w:themeColor="text1"/>
        </w:rPr>
        <w:t>:</w:t>
      </w:r>
    </w:p>
    <w:p w14:paraId="25987B2F" w14:textId="7B4ABD62" w:rsidR="00433A31" w:rsidRPr="00EB5466" w:rsidRDefault="00433A31" w:rsidP="00EB5466">
      <w:pPr>
        <w:pStyle w:val="PargrafodaLista"/>
        <w:numPr>
          <w:ilvl w:val="0"/>
          <w:numId w:val="36"/>
        </w:numPr>
        <w:rPr>
          <w:color w:val="000000" w:themeColor="text1"/>
        </w:rPr>
      </w:pPr>
      <w:r w:rsidRPr="00EB5466">
        <w:rPr>
          <w:color w:val="000000" w:themeColor="text1"/>
        </w:rPr>
        <w:t>Serão documentados: (i) datas de extração e versões das bases; (</w:t>
      </w:r>
      <w:proofErr w:type="spellStart"/>
      <w:r w:rsidRPr="00EB5466">
        <w:rPr>
          <w:color w:val="000000" w:themeColor="text1"/>
        </w:rPr>
        <w:t>ii</w:t>
      </w:r>
      <w:proofErr w:type="spellEnd"/>
      <w:r w:rsidRPr="00EB5466">
        <w:rPr>
          <w:color w:val="000000" w:themeColor="text1"/>
        </w:rPr>
        <w:t>) regras de limpeza, junção e padronização; (</w:t>
      </w:r>
      <w:proofErr w:type="spellStart"/>
      <w:r w:rsidRPr="00EB5466">
        <w:rPr>
          <w:color w:val="000000" w:themeColor="text1"/>
        </w:rPr>
        <w:t>iii</w:t>
      </w:r>
      <w:proofErr w:type="spellEnd"/>
      <w:r w:rsidRPr="00EB5466">
        <w:rPr>
          <w:color w:val="000000" w:themeColor="text1"/>
        </w:rPr>
        <w:t>) semente aleatória (</w:t>
      </w:r>
      <w:proofErr w:type="spellStart"/>
      <w:proofErr w:type="gramStart"/>
      <w:r w:rsidRPr="00EB5466">
        <w:rPr>
          <w:i/>
          <w:iCs/>
          <w:color w:val="000000" w:themeColor="text1"/>
        </w:rPr>
        <w:t>set.seed</w:t>
      </w:r>
      <w:proofErr w:type="spellEnd"/>
      <w:proofErr w:type="gramEnd"/>
      <w:r w:rsidRPr="00EB5466">
        <w:rPr>
          <w:color w:val="000000" w:themeColor="text1"/>
        </w:rPr>
        <w:t>), versões de software e pacotes; (</w:t>
      </w:r>
      <w:proofErr w:type="spellStart"/>
      <w:r w:rsidRPr="00EB5466">
        <w:rPr>
          <w:color w:val="000000" w:themeColor="text1"/>
        </w:rPr>
        <w:t>iv</w:t>
      </w:r>
      <w:proofErr w:type="spellEnd"/>
      <w:r w:rsidRPr="00EB5466">
        <w:rPr>
          <w:color w:val="000000" w:themeColor="text1"/>
        </w:rPr>
        <w:t xml:space="preserve">) </w:t>
      </w:r>
      <w:r w:rsidRPr="00EB5466">
        <w:rPr>
          <w:i/>
          <w:iCs/>
          <w:color w:val="000000" w:themeColor="text1"/>
        </w:rPr>
        <w:t>scripts</w:t>
      </w:r>
      <w:r w:rsidRPr="00EB5466">
        <w:rPr>
          <w:color w:val="000000" w:themeColor="text1"/>
        </w:rPr>
        <w:t xml:space="preserve"> executáveis com registro de todas as decisões (</w:t>
      </w:r>
      <w:proofErr w:type="spellStart"/>
      <w:r w:rsidRPr="00EB5466">
        <w:rPr>
          <w:color w:val="000000" w:themeColor="text1"/>
        </w:rPr>
        <w:t>winsorização</w:t>
      </w:r>
      <w:proofErr w:type="spellEnd"/>
      <w:r w:rsidRPr="00EB5466">
        <w:rPr>
          <w:color w:val="000000" w:themeColor="text1"/>
        </w:rPr>
        <w:t>, transformações, critérios de inclusão). Os dados da RAIS serão trabalhados apenas em nível agregado (subsetor-ano), sem identificação individual, em conformidade com a LGPD; não há coleta direta com seres humanos nem informação sensível.</w:t>
      </w:r>
    </w:p>
    <w:p w14:paraId="73CEDE59" w14:textId="77777777" w:rsidR="005923ED" w:rsidRPr="00397B0E" w:rsidRDefault="005923ED" w:rsidP="005923ED">
      <w:pPr>
        <w:rPr>
          <w:color w:val="000000" w:themeColor="text1"/>
        </w:rPr>
      </w:pPr>
    </w:p>
    <w:p w14:paraId="6234E022" w14:textId="325B8908" w:rsidR="005923ED" w:rsidRPr="00433A31" w:rsidRDefault="005923ED" w:rsidP="005923ED">
      <w:pPr>
        <w:pStyle w:val="Ttulo2"/>
      </w:pPr>
      <w:bookmarkStart w:id="22" w:name="_Toc210058174"/>
      <w:r>
        <w:lastRenderedPageBreak/>
        <w:t>FONTES, PERÍODO E CRITÉRIOS DE INCLUSÃO</w:t>
      </w:r>
      <w:bookmarkEnd w:id="22"/>
    </w:p>
    <w:p w14:paraId="21877675" w14:textId="77777777" w:rsidR="005923ED" w:rsidRPr="00433A31" w:rsidRDefault="005923ED" w:rsidP="005923ED"/>
    <w:p w14:paraId="1461FAF3" w14:textId="5641A9AA" w:rsidR="005923ED" w:rsidRPr="005923ED" w:rsidRDefault="005923ED" w:rsidP="005923ED">
      <w:pPr>
        <w:ind w:firstLine="708"/>
        <w:rPr>
          <w:color w:val="000000" w:themeColor="text1"/>
        </w:rPr>
      </w:pPr>
      <w:r w:rsidRPr="005923ED">
        <w:rPr>
          <w:color w:val="000000" w:themeColor="text1"/>
        </w:rPr>
        <w:t xml:space="preserve">Serão utilizados repositórios oficiais, acessados e congelados em versões documentadas (data de extração, URL/identificador, </w:t>
      </w:r>
      <w:proofErr w:type="spellStart"/>
      <w:r w:rsidRPr="005923ED">
        <w:rPr>
          <w:i/>
          <w:iCs/>
          <w:color w:val="000000" w:themeColor="text1"/>
        </w:rPr>
        <w:t>checksum</w:t>
      </w:r>
      <w:proofErr w:type="spellEnd"/>
      <w:r w:rsidRPr="005923ED">
        <w:rPr>
          <w:color w:val="000000" w:themeColor="text1"/>
        </w:rPr>
        <w:t xml:space="preserve"> do arquivo original):</w:t>
      </w:r>
    </w:p>
    <w:p w14:paraId="0DE509D5" w14:textId="77777777" w:rsidR="005923ED" w:rsidRPr="005923ED" w:rsidRDefault="005923ED" w:rsidP="005923ED">
      <w:pPr>
        <w:numPr>
          <w:ilvl w:val="0"/>
          <w:numId w:val="28"/>
        </w:numPr>
        <w:rPr>
          <w:color w:val="000000" w:themeColor="text1"/>
        </w:rPr>
      </w:pPr>
      <w:r w:rsidRPr="005923ED">
        <w:rPr>
          <w:color w:val="000000" w:themeColor="text1"/>
        </w:rPr>
        <w:t>SUFRAMA: Relatórios/planilhas setoriais do PIM com valor adicionado (VA), ativo imobilizado em máquinas e equipamentos (CAPEX) e incentivos usufruídos por subsetor e ano.</w:t>
      </w:r>
    </w:p>
    <w:p w14:paraId="26B6E3C8" w14:textId="77777777" w:rsidR="005923ED" w:rsidRPr="005923ED" w:rsidRDefault="005923ED" w:rsidP="005923ED">
      <w:pPr>
        <w:numPr>
          <w:ilvl w:val="0"/>
          <w:numId w:val="28"/>
        </w:numPr>
        <w:rPr>
          <w:color w:val="000000" w:themeColor="text1"/>
        </w:rPr>
      </w:pPr>
      <w:r w:rsidRPr="005923ED">
        <w:rPr>
          <w:color w:val="000000" w:themeColor="text1"/>
        </w:rPr>
        <w:t>Receita Federal do Brasil (RFB): Demonstrativo de Gastos Tributários com série anual dos benefícios ligados à ZFM; quando necessário, proceder à conciliação com os totais de incentivos reportados pela SUFRAMA.</w:t>
      </w:r>
    </w:p>
    <w:p w14:paraId="514D3A5C" w14:textId="77777777" w:rsidR="005923ED" w:rsidRDefault="005923ED" w:rsidP="005923ED">
      <w:pPr>
        <w:numPr>
          <w:ilvl w:val="0"/>
          <w:numId w:val="28"/>
        </w:numPr>
        <w:rPr>
          <w:color w:val="000000" w:themeColor="text1"/>
        </w:rPr>
      </w:pPr>
      <w:r w:rsidRPr="005923ED">
        <w:rPr>
          <w:color w:val="000000" w:themeColor="text1"/>
        </w:rPr>
        <w:t>RAIS (MTE): microdados anuais para agregação de emprego formal por CNAE 2.0 e município; será construída uma tabela de correspondência (</w:t>
      </w:r>
      <w:proofErr w:type="spellStart"/>
      <w:r w:rsidRPr="005923ED">
        <w:rPr>
          <w:color w:val="000000" w:themeColor="text1"/>
        </w:rPr>
        <w:t>crosswalk</w:t>
      </w:r>
      <w:proofErr w:type="spellEnd"/>
      <w:r w:rsidRPr="005923ED">
        <w:rPr>
          <w:color w:val="000000" w:themeColor="text1"/>
        </w:rPr>
        <w:t>) CNAE → subsetores do PIM para obter o Emprego por subsetor e ano.</w:t>
      </w:r>
    </w:p>
    <w:p w14:paraId="76DC2766" w14:textId="77777777" w:rsidR="005923ED" w:rsidRPr="005923ED" w:rsidRDefault="005923ED" w:rsidP="005923ED">
      <w:pPr>
        <w:ind w:left="720"/>
        <w:rPr>
          <w:color w:val="000000" w:themeColor="text1"/>
        </w:rPr>
      </w:pPr>
    </w:p>
    <w:p w14:paraId="1AC4B8EF" w14:textId="7A83FD7C" w:rsidR="005923ED" w:rsidRPr="005923ED" w:rsidRDefault="005923ED" w:rsidP="005923ED">
      <w:pPr>
        <w:ind w:firstLine="708"/>
        <w:rPr>
          <w:color w:val="000000" w:themeColor="text1"/>
        </w:rPr>
      </w:pPr>
      <w:r>
        <w:rPr>
          <w:color w:val="000000" w:themeColor="text1"/>
        </w:rPr>
        <w:t>A u</w:t>
      </w:r>
      <w:r w:rsidRPr="005923ED">
        <w:rPr>
          <w:color w:val="000000" w:themeColor="text1"/>
        </w:rPr>
        <w:t xml:space="preserve">nidade de </w:t>
      </w:r>
      <w:proofErr w:type="gramStart"/>
      <w:r w:rsidRPr="005923ED">
        <w:rPr>
          <w:color w:val="000000" w:themeColor="text1"/>
        </w:rPr>
        <w:t xml:space="preserve">análise </w:t>
      </w:r>
      <w:r>
        <w:rPr>
          <w:color w:val="000000" w:themeColor="text1"/>
        </w:rPr>
        <w:t>,a</w:t>
      </w:r>
      <w:r w:rsidRPr="005923ED">
        <w:rPr>
          <w:color w:val="000000" w:themeColor="text1"/>
        </w:rPr>
        <w:t>s</w:t>
      </w:r>
      <w:proofErr w:type="gramEnd"/>
      <w:r w:rsidRPr="005923ED">
        <w:rPr>
          <w:color w:val="000000" w:themeColor="text1"/>
        </w:rPr>
        <w:t xml:space="preserve"> </w:t>
      </w:r>
      <w:proofErr w:type="spellStart"/>
      <w:r w:rsidRPr="005923ED">
        <w:rPr>
          <w:color w:val="000000" w:themeColor="text1"/>
        </w:rPr>
        <w:t>DMUs</w:t>
      </w:r>
      <w:proofErr w:type="spellEnd"/>
      <w:r>
        <w:rPr>
          <w:color w:val="000000" w:themeColor="text1"/>
        </w:rPr>
        <w:t>,</w:t>
      </w:r>
      <w:r w:rsidRPr="005923ED">
        <w:rPr>
          <w:color w:val="000000" w:themeColor="text1"/>
        </w:rPr>
        <w:t xml:space="preserve"> são subsetor-ano. A junção das bases seguirá </w:t>
      </w:r>
      <w:r>
        <w:rPr>
          <w:color w:val="000000" w:themeColor="text1"/>
        </w:rPr>
        <w:t>o seguinte</w:t>
      </w:r>
      <w:r w:rsidRPr="005923ED">
        <w:rPr>
          <w:color w:val="000000" w:themeColor="text1"/>
        </w:rPr>
        <w:t xml:space="preserve"> fluxo: (i) SUFRAMA define a lista e o código/descrição dos subsetores; (</w:t>
      </w:r>
      <w:proofErr w:type="spellStart"/>
      <w:r w:rsidRPr="005923ED">
        <w:rPr>
          <w:color w:val="000000" w:themeColor="text1"/>
        </w:rPr>
        <w:t>ii</w:t>
      </w:r>
      <w:proofErr w:type="spellEnd"/>
      <w:r w:rsidRPr="005923ED">
        <w:rPr>
          <w:color w:val="000000" w:themeColor="text1"/>
        </w:rPr>
        <w:t xml:space="preserve">) mapeiam-se </w:t>
      </w:r>
      <w:proofErr w:type="spellStart"/>
      <w:r w:rsidRPr="005923ED">
        <w:rPr>
          <w:color w:val="000000" w:themeColor="text1"/>
        </w:rPr>
        <w:t>CNAEs</w:t>
      </w:r>
      <w:proofErr w:type="spellEnd"/>
      <w:r w:rsidRPr="005923ED">
        <w:rPr>
          <w:color w:val="000000" w:themeColor="text1"/>
        </w:rPr>
        <w:t xml:space="preserve"> relevantes de cada subsetor (documentando regras de inclusão/ exclusão quando um CNAE aparecer em mais de um grupo); (</w:t>
      </w:r>
      <w:proofErr w:type="spellStart"/>
      <w:r w:rsidRPr="005923ED">
        <w:rPr>
          <w:color w:val="000000" w:themeColor="text1"/>
        </w:rPr>
        <w:t>iii</w:t>
      </w:r>
      <w:proofErr w:type="spellEnd"/>
      <w:r w:rsidRPr="005923ED">
        <w:rPr>
          <w:color w:val="000000" w:themeColor="text1"/>
        </w:rPr>
        <w:t>) agregam-se os vínculos RAIS para o total de empregos por subsetor-ano; (</w:t>
      </w:r>
      <w:proofErr w:type="spellStart"/>
      <w:r w:rsidRPr="005923ED">
        <w:rPr>
          <w:color w:val="000000" w:themeColor="text1"/>
        </w:rPr>
        <w:t>iv</w:t>
      </w:r>
      <w:proofErr w:type="spellEnd"/>
      <w:r w:rsidRPr="005923ED">
        <w:rPr>
          <w:color w:val="000000" w:themeColor="text1"/>
        </w:rPr>
        <w:t xml:space="preserve">) conciliam-se os incentivos (SUFRAMA/RFB) e o VA do subsetor-ano em um painel único. Divergências de nomenclatura/nível de agregação serão resolvidas com uma tabela mestra de códigos (mantida no </w:t>
      </w:r>
      <w:r w:rsidRPr="005923ED">
        <w:rPr>
          <w:i/>
          <w:iCs/>
          <w:color w:val="000000" w:themeColor="text1"/>
        </w:rPr>
        <w:t>repositório do projeto</w:t>
      </w:r>
      <w:r w:rsidRPr="005923ED">
        <w:rPr>
          <w:color w:val="000000" w:themeColor="text1"/>
        </w:rPr>
        <w:t>).</w:t>
      </w:r>
    </w:p>
    <w:p w14:paraId="57C2697B" w14:textId="185A389E" w:rsidR="005923ED" w:rsidRDefault="005923ED" w:rsidP="00FF66E7">
      <w:pPr>
        <w:ind w:firstLine="708"/>
        <w:rPr>
          <w:color w:val="000000" w:themeColor="text1"/>
        </w:rPr>
      </w:pPr>
      <w:r w:rsidRPr="005923ED">
        <w:rPr>
          <w:color w:val="000000" w:themeColor="text1"/>
        </w:rPr>
        <w:t xml:space="preserve">O </w:t>
      </w:r>
      <w:r>
        <w:rPr>
          <w:color w:val="000000" w:themeColor="text1"/>
        </w:rPr>
        <w:t>p</w:t>
      </w:r>
      <w:r w:rsidRPr="005923ED">
        <w:rPr>
          <w:color w:val="000000" w:themeColor="text1"/>
        </w:rPr>
        <w:t>eríodo de análise</w:t>
      </w:r>
      <w:r>
        <w:rPr>
          <w:color w:val="000000" w:themeColor="text1"/>
        </w:rPr>
        <w:t xml:space="preserve"> coberto pelo painel é dos anos </w:t>
      </w:r>
      <w:r w:rsidRPr="005923ED">
        <w:rPr>
          <w:color w:val="000000" w:themeColor="text1"/>
        </w:rPr>
        <w:t>2018–2023. Esse recorte oferece janela recente (inclui choques de 2020–2021) com comparabilidade garantida, pois RAIS 2024 não se encontra consolidada. Séries monetárias serão convertidas para preços constantes de 2023 (vide fórmula de deflacionamento abaixo) e, em robustez, serão testados deflatores alternativos.</w:t>
      </w:r>
    </w:p>
    <w:p w14:paraId="5DE71F70" w14:textId="00F99DC3" w:rsidR="00DC36E8" w:rsidRDefault="00DC36E8" w:rsidP="00DC36E8">
      <w:pPr>
        <w:pStyle w:val="Legenda"/>
        <w:keepNext/>
      </w:pPr>
      <w:r>
        <w:fldChar w:fldCharType="begin"/>
      </w:r>
      <w:r>
        <w:instrText xml:space="preserve"> SEQ Equação \* ARABIC </w:instrText>
      </w:r>
      <w:r>
        <w:fldChar w:fldCharType="separate"/>
      </w:r>
      <w:r w:rsidR="00F7526F">
        <w:rPr>
          <w:noProof/>
        </w:rPr>
        <w:t>1</w:t>
      </w:r>
      <w:r>
        <w:fldChar w:fldCharType="end"/>
      </w:r>
    </w:p>
    <w:p w14:paraId="37497146" w14:textId="4D6B8DE6" w:rsidR="005923ED" w:rsidRPr="00CE6A6B" w:rsidRDefault="00000000" w:rsidP="005923ED">
      <w:pPr>
        <w:ind w:firstLine="708"/>
        <w:rPr>
          <w:rFonts w:eastAsiaTheme="minorEastAsia"/>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i,t</m:t>
              </m:r>
            </m:sub>
            <m:sup>
              <m:d>
                <m:dPr>
                  <m:ctrlPr>
                    <w:rPr>
                      <w:rFonts w:ascii="Cambria Math" w:hAnsi="Cambria Math"/>
                      <w:i/>
                      <w:color w:val="000000" w:themeColor="text1"/>
                    </w:rPr>
                  </m:ctrlPr>
                </m:dPr>
                <m:e>
                  <m:r>
                    <w:rPr>
                      <w:rFonts w:ascii="Cambria Math" w:hAnsi="Cambria Math"/>
                      <w:color w:val="000000" w:themeColor="text1"/>
                    </w:rPr>
                    <m:t>2023</m:t>
                  </m:r>
                </m:e>
              </m:d>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i,t</m:t>
              </m:r>
            </m:sub>
          </m:sSub>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2023</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ctrlPr>
                <w:rPr>
                  <w:rFonts w:ascii="Cambria Math" w:hAnsi="Cambria Math"/>
                  <w:i/>
                  <w:color w:val="000000" w:themeColor="text1"/>
                </w:rPr>
              </m:ctrlPr>
            </m:den>
          </m:f>
        </m:oMath>
      </m:oMathPara>
    </w:p>
    <w:p w14:paraId="5547F901" w14:textId="77777777" w:rsidR="00CE6A6B" w:rsidRPr="00CE6A6B" w:rsidRDefault="00CE6A6B" w:rsidP="005923ED">
      <w:pPr>
        <w:ind w:firstLine="708"/>
        <w:rPr>
          <w:rFonts w:eastAsiaTheme="minorEastAsia"/>
          <w:color w:val="000000" w:themeColor="text1"/>
        </w:rPr>
      </w:pPr>
    </w:p>
    <w:p w14:paraId="433CCB6C" w14:textId="736CB264" w:rsidR="00CE6A6B" w:rsidRDefault="00CE6A6B" w:rsidP="00C85AFA">
      <w:pPr>
        <w:rPr>
          <w:rFonts w:eastAsiaTheme="minorEastAsia"/>
          <w:color w:val="000000" w:themeColor="text1"/>
        </w:rPr>
      </w:pPr>
      <w:r w:rsidRPr="00CE6A6B">
        <w:rPr>
          <w:rFonts w:eastAsiaTheme="minorEastAsia"/>
          <w:color w:val="000000" w:themeColor="text1"/>
        </w:rPr>
        <w:t xml:space="preserve">onde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i,t</m:t>
            </m:r>
            <m:r>
              <m:rPr>
                <m:sty m:val="p"/>
              </m:rPr>
              <w:rPr>
                <w:rFonts w:ascii="Cambria Math" w:eastAsiaTheme="minorEastAsia" w:hAnsi="Cambria Math"/>
                <w:color w:val="000000" w:themeColor="text1"/>
              </w:rPr>
              <m:t xml:space="preserve"> </m:t>
            </m:r>
          </m:sub>
        </m:sSub>
      </m:oMath>
      <w:r w:rsidRPr="00CE6A6B">
        <w:rPr>
          <w:rFonts w:eastAsiaTheme="minorEastAsia"/>
          <w:color w:val="000000" w:themeColor="text1"/>
        </w:rPr>
        <w:t xml:space="preserve"> </w:t>
      </w:r>
      <w:proofErr w:type="spellStart"/>
      <w:r w:rsidRPr="00CE6A6B">
        <w:rPr>
          <w:rFonts w:eastAsiaTheme="minorEastAsia"/>
          <w:color w:val="000000" w:themeColor="text1"/>
        </w:rPr>
        <w:t>é</w:t>
      </w:r>
      <w:proofErr w:type="spellEnd"/>
      <w:r w:rsidRPr="00CE6A6B">
        <w:rPr>
          <w:rFonts w:eastAsiaTheme="minorEastAsia"/>
          <w:color w:val="000000" w:themeColor="text1"/>
        </w:rPr>
        <w:t xml:space="preserve"> VA, CAPEX ou Incentivo em valores correntes,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t</m:t>
            </m:r>
          </m:sub>
        </m:sSub>
      </m:oMath>
      <w:r w:rsidRPr="00CE6A6B">
        <w:rPr>
          <w:rFonts w:eastAsiaTheme="minorEastAsia"/>
          <w:color w:val="000000" w:themeColor="text1"/>
        </w:rPr>
        <w:t xml:space="preserve"> é o índice de preços no ano </w:t>
      </w:r>
      <m:oMath>
        <m:r>
          <w:rPr>
            <w:rFonts w:ascii="Cambria Math" w:eastAsiaTheme="minorEastAsia" w:hAnsi="Cambria Math"/>
            <w:color w:val="000000" w:themeColor="text1"/>
          </w:rPr>
          <m:t>t</m:t>
        </m:r>
      </m:oMath>
      <w:r w:rsidRPr="00CE6A6B">
        <w:rPr>
          <w:rFonts w:eastAsiaTheme="minorEastAsia"/>
          <w:color w:val="000000" w:themeColor="text1"/>
        </w:rPr>
        <w:t xml:space="preserve"> 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2023</m:t>
            </m:r>
          </m:sub>
        </m:sSub>
      </m:oMath>
      <w:r w:rsidRPr="00CE6A6B">
        <w:rPr>
          <w:rFonts w:eastAsiaTheme="minorEastAsia"/>
          <w:color w:val="000000" w:themeColor="text1"/>
        </w:rPr>
        <w:t>​ é o índice no ano-base. Índice de referência principal</w:t>
      </w:r>
      <w:r>
        <w:rPr>
          <w:rFonts w:eastAsiaTheme="minorEastAsia"/>
          <w:color w:val="000000" w:themeColor="text1"/>
        </w:rPr>
        <w:t xml:space="preserve"> é</w:t>
      </w:r>
      <w:r w:rsidRPr="00CE6A6B">
        <w:rPr>
          <w:rFonts w:eastAsiaTheme="minorEastAsia"/>
          <w:color w:val="000000" w:themeColor="text1"/>
        </w:rPr>
        <w:t xml:space="preserve"> IPCA/IBGE. </w:t>
      </w:r>
      <w:r w:rsidRPr="00CE6A6B">
        <w:rPr>
          <w:rFonts w:eastAsiaTheme="minorEastAsia"/>
          <w:color w:val="000000" w:themeColor="text1"/>
        </w:rPr>
        <w:lastRenderedPageBreak/>
        <w:t>Checagem de robustez</w:t>
      </w:r>
      <w:r>
        <w:rPr>
          <w:rFonts w:eastAsiaTheme="minorEastAsia"/>
          <w:color w:val="000000" w:themeColor="text1"/>
        </w:rPr>
        <w:t xml:space="preserve"> via </w:t>
      </w:r>
      <w:r w:rsidRPr="00CE6A6B">
        <w:rPr>
          <w:rFonts w:eastAsiaTheme="minorEastAsia"/>
          <w:color w:val="000000" w:themeColor="text1"/>
        </w:rPr>
        <w:t xml:space="preserve">deflator implícito do PIB da indústria de transformação (IBGE) e </w:t>
      </w:r>
      <w:r w:rsidR="00D16D85" w:rsidRPr="00D16D85">
        <w:rPr>
          <w:rFonts w:eastAsiaTheme="minorEastAsia"/>
          <w:color w:val="000000" w:themeColor="text1"/>
        </w:rPr>
        <w:t>IPP/IBGE</w:t>
      </w:r>
      <w:r w:rsidRPr="00CE6A6B">
        <w:rPr>
          <w:rFonts w:eastAsiaTheme="minorEastAsia"/>
          <w:color w:val="000000" w:themeColor="text1"/>
        </w:rPr>
        <w:t xml:space="preserve">. </w:t>
      </w:r>
    </w:p>
    <w:p w14:paraId="663BAAAF" w14:textId="77777777" w:rsidR="00CE6A6B" w:rsidRPr="00CE6A6B" w:rsidRDefault="00CE6A6B" w:rsidP="00CE6A6B">
      <w:pPr>
        <w:ind w:firstLine="708"/>
        <w:rPr>
          <w:rFonts w:eastAsiaTheme="minorEastAsia"/>
          <w:color w:val="000000" w:themeColor="text1"/>
        </w:rPr>
      </w:pPr>
    </w:p>
    <w:p w14:paraId="4BB550F0" w14:textId="6145E792" w:rsidR="00CE6A6B" w:rsidRPr="00C85AFA" w:rsidRDefault="00CE6A6B" w:rsidP="00CE6A6B">
      <w:pPr>
        <w:rPr>
          <w:rFonts w:eastAsiaTheme="minorEastAsia"/>
          <w:color w:val="000000" w:themeColor="text1"/>
        </w:rPr>
      </w:pPr>
      <w:r w:rsidRPr="00C85AFA">
        <w:rPr>
          <w:rFonts w:eastAsiaTheme="minorEastAsia"/>
          <w:color w:val="000000" w:themeColor="text1"/>
        </w:rPr>
        <w:t>Critérios de inclusão/exclusão (por DMU-ano)</w:t>
      </w:r>
      <w:r w:rsidR="00C85AFA" w:rsidRPr="00C85AFA">
        <w:rPr>
          <w:rFonts w:eastAsiaTheme="minorEastAsia"/>
          <w:color w:val="000000" w:themeColor="text1"/>
        </w:rPr>
        <w:t>:</w:t>
      </w:r>
    </w:p>
    <w:p w14:paraId="49C2B07E" w14:textId="77777777" w:rsidR="00CE6A6B" w:rsidRPr="00CE6A6B" w:rsidRDefault="00CE6A6B" w:rsidP="00CE6A6B">
      <w:pPr>
        <w:numPr>
          <w:ilvl w:val="0"/>
          <w:numId w:val="29"/>
        </w:numPr>
        <w:rPr>
          <w:rFonts w:eastAsiaTheme="minorEastAsia"/>
          <w:color w:val="000000" w:themeColor="text1"/>
        </w:rPr>
      </w:pPr>
      <w:r w:rsidRPr="00CE6A6B">
        <w:rPr>
          <w:rFonts w:eastAsiaTheme="minorEastAsia"/>
          <w:color w:val="000000" w:themeColor="text1"/>
        </w:rPr>
        <w:t>Atividade válida: presença do subsetor em ≥ 4 dos 6 anos (2018–2023).</w:t>
      </w:r>
    </w:p>
    <w:p w14:paraId="4CF9C04B" w14:textId="613B6BC6" w:rsidR="00CE6A6B" w:rsidRPr="00CE6A6B" w:rsidRDefault="00CE6A6B" w:rsidP="00CE6A6B">
      <w:pPr>
        <w:numPr>
          <w:ilvl w:val="0"/>
          <w:numId w:val="29"/>
        </w:numPr>
        <w:rPr>
          <w:rFonts w:eastAsiaTheme="minorEastAsia"/>
          <w:color w:val="000000" w:themeColor="text1"/>
        </w:rPr>
      </w:pPr>
      <w:r w:rsidRPr="00CE6A6B">
        <w:rPr>
          <w:rFonts w:eastAsiaTheme="minorEastAsia"/>
          <w:color w:val="000000" w:themeColor="text1"/>
        </w:rPr>
        <w:t xml:space="preserve">Positividade para DEA: </w:t>
      </w:r>
      <m:oMath>
        <m:sSub>
          <m:sSubPr>
            <m:ctrlPr>
              <w:rPr>
                <w:rFonts w:ascii="Cambria Math" w:hAnsi="Cambria Math"/>
                <w:i/>
              </w:rPr>
            </m:ctrlPr>
          </m:sSubPr>
          <m:e>
            <m:r>
              <w:rPr>
                <w:rFonts w:ascii="Cambria Math" w:hAnsi="Cambria Math"/>
              </w:rPr>
              <m:t>I</m:t>
            </m:r>
          </m:e>
          <m:sub>
            <m:r>
              <w:rPr>
                <w:rFonts w:ascii="Cambria Math" w:hAnsi="Cambria Math"/>
              </w:rPr>
              <m:t>i,t</m:t>
            </m:r>
          </m:sub>
        </m:sSub>
        <m:r>
          <w:rPr>
            <w:rFonts w:ascii="Cambria Math" w:hAnsi="Cambria Math"/>
          </w:rPr>
          <m:t>&gt;0</m:t>
        </m:r>
      </m:oMath>
      <w:r>
        <w:rPr>
          <w:rFonts w:eastAsiaTheme="minorEastAsia"/>
          <w:color w:val="000000" w:themeColor="text1"/>
        </w:rPr>
        <w:t xml:space="preserve"> </w:t>
      </w:r>
      <w:r w:rsidRPr="00CE6A6B">
        <w:rPr>
          <w:rFonts w:eastAsiaTheme="minorEastAsia"/>
          <w:color w:val="000000" w:themeColor="text1"/>
        </w:rPr>
        <w:t xml:space="preserve">(incentivo), </w:t>
      </w:r>
      <m:oMath>
        <m:r>
          <w:rPr>
            <w:rFonts w:ascii="Cambria Math" w:eastAsiaTheme="minorEastAsia" w:hAnsi="Cambria Math"/>
            <w:color w:val="000000" w:themeColor="text1"/>
          </w:rPr>
          <m:t>V</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i,t</m:t>
            </m:r>
          </m:sub>
        </m:sSub>
        <m:r>
          <w:rPr>
            <w:rFonts w:ascii="Cambria Math" w:eastAsiaTheme="minorEastAsia" w:hAnsi="Cambria Math"/>
            <w:color w:val="000000" w:themeColor="text1"/>
          </w:rPr>
          <m:t xml:space="preserve">&gt;0 </m:t>
        </m:r>
      </m:oMath>
      <w:r w:rsidRPr="00CE6A6B">
        <w:rPr>
          <w:rFonts w:eastAsiaTheme="minorEastAsia"/>
          <w:color w:val="000000" w:themeColor="text1"/>
        </w:rPr>
        <w:t xml:space="preserve">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E</m:t>
            </m:r>
          </m:e>
          <m:sub>
            <m:r>
              <w:rPr>
                <w:rFonts w:ascii="Cambria Math" w:eastAsiaTheme="minorEastAsia" w:hAnsi="Cambria Math"/>
                <w:color w:val="000000" w:themeColor="text1"/>
              </w:rPr>
              <m:t>i,t</m:t>
            </m:r>
          </m:sub>
        </m:sSub>
        <m:r>
          <w:rPr>
            <w:rFonts w:ascii="Cambria Math" w:eastAsiaTheme="minorEastAsia" w:hAnsi="Cambria Math"/>
            <w:color w:val="000000" w:themeColor="text1"/>
          </w:rPr>
          <m:t>&gt;0</m:t>
        </m:r>
      </m:oMath>
      <w:r w:rsidRPr="00CE6A6B">
        <w:rPr>
          <w:rFonts w:eastAsiaTheme="minorEastAsia"/>
          <w:color w:val="000000" w:themeColor="text1"/>
        </w:rPr>
        <w:t>. Ocorrências com zero ou negativos serão tratadas como não operacionais naquele ano e excluídas do DEA; preservam-se para estatísticas descritivas quando apropriado.</w:t>
      </w:r>
    </w:p>
    <w:p w14:paraId="2452D404" w14:textId="77777777" w:rsidR="00CE6A6B" w:rsidRPr="00CE6A6B" w:rsidRDefault="00CE6A6B" w:rsidP="00CE6A6B">
      <w:pPr>
        <w:numPr>
          <w:ilvl w:val="0"/>
          <w:numId w:val="29"/>
        </w:numPr>
        <w:rPr>
          <w:rFonts w:eastAsiaTheme="minorEastAsia"/>
          <w:color w:val="000000" w:themeColor="text1"/>
        </w:rPr>
      </w:pPr>
      <w:r w:rsidRPr="00CE6A6B">
        <w:rPr>
          <w:rFonts w:eastAsiaTheme="minorEastAsia"/>
          <w:color w:val="000000" w:themeColor="text1"/>
        </w:rPr>
        <w:t xml:space="preserve">Coerência contábil: observações com inconsistências graves (ex.: VA </w:t>
      </w:r>
      <w:r w:rsidRPr="00CE6A6B">
        <w:rPr>
          <w:rFonts w:ascii="Cambria Math" w:eastAsiaTheme="minorEastAsia" w:hAnsi="Cambria Math" w:cs="Cambria Math"/>
          <w:color w:val="000000" w:themeColor="text1"/>
        </w:rPr>
        <w:t>≪</w:t>
      </w:r>
      <w:r w:rsidRPr="00CE6A6B">
        <w:rPr>
          <w:rFonts w:eastAsiaTheme="minorEastAsia"/>
          <w:color w:val="000000" w:themeColor="text1"/>
        </w:rPr>
        <w:t xml:space="preserve"> 0 sem justificativa documental) ser</w:t>
      </w:r>
      <w:r w:rsidRPr="00CE6A6B">
        <w:rPr>
          <w:rFonts w:eastAsiaTheme="minorEastAsia" w:cs="Times New Roman"/>
          <w:color w:val="000000" w:themeColor="text1"/>
        </w:rPr>
        <w:t>ã</w:t>
      </w:r>
      <w:r w:rsidRPr="00CE6A6B">
        <w:rPr>
          <w:rFonts w:eastAsiaTheme="minorEastAsia"/>
          <w:color w:val="000000" w:themeColor="text1"/>
        </w:rPr>
        <w:t>o removidas e logadas.</w:t>
      </w:r>
    </w:p>
    <w:p w14:paraId="189C5DF8" w14:textId="77777777" w:rsidR="00CE6A6B" w:rsidRDefault="00CE6A6B" w:rsidP="00CE6A6B">
      <w:pPr>
        <w:numPr>
          <w:ilvl w:val="0"/>
          <w:numId w:val="29"/>
        </w:numPr>
        <w:rPr>
          <w:rFonts w:eastAsiaTheme="minorEastAsia"/>
          <w:color w:val="000000" w:themeColor="text1"/>
        </w:rPr>
      </w:pPr>
      <w:r w:rsidRPr="00CE6A6B">
        <w:rPr>
          <w:rFonts w:eastAsiaTheme="minorEastAsia"/>
          <w:color w:val="000000" w:themeColor="text1"/>
        </w:rPr>
        <w:t xml:space="preserve">Outliers extremos: valores acima do p99,9 (ou abaixo do p0,1) em séries monetárias serão marcados; a análise principal utilizará </w:t>
      </w:r>
      <w:proofErr w:type="spellStart"/>
      <w:r w:rsidRPr="00CE6A6B">
        <w:rPr>
          <w:rFonts w:eastAsiaTheme="minorEastAsia"/>
          <w:color w:val="000000" w:themeColor="text1"/>
        </w:rPr>
        <w:t>winsorização</w:t>
      </w:r>
      <w:proofErr w:type="spellEnd"/>
      <w:r w:rsidRPr="00CE6A6B">
        <w:rPr>
          <w:rFonts w:eastAsiaTheme="minorEastAsia"/>
          <w:color w:val="000000" w:themeColor="text1"/>
        </w:rPr>
        <w:t xml:space="preserve"> p1–p99 na etapa de tratamento (a decisão e o impacto serão documentados em robustez).</w:t>
      </w:r>
    </w:p>
    <w:p w14:paraId="0D0B5D10" w14:textId="77777777" w:rsidR="00CE6A6B" w:rsidRPr="00C85AFA" w:rsidRDefault="00CE6A6B" w:rsidP="00CE6A6B">
      <w:pPr>
        <w:ind w:left="720"/>
        <w:rPr>
          <w:rFonts w:eastAsiaTheme="minorEastAsia"/>
          <w:color w:val="000000" w:themeColor="text1"/>
        </w:rPr>
      </w:pPr>
    </w:p>
    <w:p w14:paraId="41CDB5A1" w14:textId="54ACF9A1" w:rsidR="00CE6A6B" w:rsidRPr="00CE6A6B" w:rsidRDefault="00211F10" w:rsidP="00CE6A6B">
      <w:pPr>
        <w:ind w:firstLine="708"/>
        <w:rPr>
          <w:rFonts w:eastAsiaTheme="minorEastAsia"/>
          <w:color w:val="000000" w:themeColor="text1"/>
        </w:rPr>
      </w:pPr>
      <w:r>
        <w:rPr>
          <w:rFonts w:eastAsiaTheme="minorEastAsia"/>
          <w:color w:val="000000" w:themeColor="text1"/>
        </w:rPr>
        <w:t>Abrangendo questões</w:t>
      </w:r>
      <w:r w:rsidR="00AF3110">
        <w:rPr>
          <w:rFonts w:eastAsiaTheme="minorEastAsia"/>
          <w:color w:val="000000" w:themeColor="text1"/>
        </w:rPr>
        <w:t xml:space="preserve"> de</w:t>
      </w:r>
      <w:r>
        <w:rPr>
          <w:rFonts w:eastAsiaTheme="minorEastAsia"/>
          <w:color w:val="000000" w:themeColor="text1"/>
        </w:rPr>
        <w:t xml:space="preserve"> governança e ética, </w:t>
      </w:r>
      <w:r w:rsidR="00AF3110">
        <w:rPr>
          <w:rFonts w:eastAsiaTheme="minorEastAsia"/>
          <w:color w:val="000000" w:themeColor="text1"/>
        </w:rPr>
        <w:t>a</w:t>
      </w:r>
      <w:r w:rsidR="00CE6A6B" w:rsidRPr="00CE6A6B">
        <w:rPr>
          <w:rFonts w:eastAsiaTheme="minorEastAsia"/>
          <w:color w:val="000000" w:themeColor="text1"/>
        </w:rPr>
        <w:t xml:space="preserve"> RAIS será utilizada apenas em agregação subsetor-ano (sem identificação pessoal). Não há interação com seres humanos; logo, não é requerida submissão a Comitê de Ética. Os arquivos originais serão preservados íntegros (com </w:t>
      </w:r>
      <w:proofErr w:type="spellStart"/>
      <w:r w:rsidR="00CE6A6B" w:rsidRPr="00CE6A6B">
        <w:rPr>
          <w:rFonts w:eastAsiaTheme="minorEastAsia"/>
          <w:i/>
          <w:iCs/>
          <w:color w:val="000000" w:themeColor="text1"/>
        </w:rPr>
        <w:t>checksum</w:t>
      </w:r>
      <w:proofErr w:type="spellEnd"/>
      <w:r w:rsidR="00CE6A6B" w:rsidRPr="00CE6A6B">
        <w:rPr>
          <w:rFonts w:eastAsiaTheme="minorEastAsia"/>
          <w:color w:val="000000" w:themeColor="text1"/>
        </w:rPr>
        <w:t>), e todo o processamento será reprodutível (</w:t>
      </w:r>
      <w:r w:rsidR="00CE6A6B" w:rsidRPr="00CE6A6B">
        <w:rPr>
          <w:rFonts w:eastAsiaTheme="minorEastAsia"/>
          <w:i/>
          <w:iCs/>
          <w:color w:val="000000" w:themeColor="text1"/>
        </w:rPr>
        <w:t>scripts</w:t>
      </w:r>
      <w:r w:rsidR="00CE6A6B" w:rsidRPr="00CE6A6B">
        <w:rPr>
          <w:rFonts w:eastAsiaTheme="minorEastAsia"/>
          <w:color w:val="000000" w:themeColor="text1"/>
        </w:rPr>
        <w:t xml:space="preserve">, </w:t>
      </w:r>
      <w:proofErr w:type="spellStart"/>
      <w:proofErr w:type="gramStart"/>
      <w:r w:rsidR="00D16D85" w:rsidRPr="00D16D85">
        <w:rPr>
          <w:rFonts w:eastAsiaTheme="minorEastAsia"/>
          <w:i/>
          <w:iCs/>
          <w:color w:val="000000" w:themeColor="text1"/>
        </w:rPr>
        <w:t>random.seed</w:t>
      </w:r>
      <w:proofErr w:type="spellEnd"/>
      <w:proofErr w:type="gramEnd"/>
      <w:r w:rsidR="00CE6A6B" w:rsidRPr="00CE6A6B">
        <w:rPr>
          <w:rFonts w:eastAsiaTheme="minorEastAsia"/>
          <w:color w:val="000000" w:themeColor="text1"/>
        </w:rPr>
        <w:t>, versão de pacotes). A tabela de correspondência CNAE ↔ subsetor e todas as decisões de junção/tratamento serão disponibilizadas em anexo eletrônico do TCC.</w:t>
      </w:r>
    </w:p>
    <w:p w14:paraId="4520973E" w14:textId="77777777" w:rsidR="003C04D2" w:rsidRPr="00CD17A4" w:rsidRDefault="003C04D2" w:rsidP="00FF66E7"/>
    <w:p w14:paraId="1AB23BF1" w14:textId="2063AF40" w:rsidR="00CD17A4" w:rsidRPr="00433A31" w:rsidRDefault="003C04D2" w:rsidP="00CD17A4">
      <w:pPr>
        <w:pStyle w:val="Ttulo2"/>
      </w:pPr>
      <w:bookmarkStart w:id="23" w:name="_Toc210058175"/>
      <w:r>
        <w:t>CONSTRUÇÃO E TRATAMENTO DE VARIÁVEIS</w:t>
      </w:r>
      <w:bookmarkEnd w:id="23"/>
      <w:r>
        <w:t xml:space="preserve"> </w:t>
      </w:r>
    </w:p>
    <w:p w14:paraId="42B24CC4" w14:textId="77777777" w:rsidR="00CD17A4" w:rsidRPr="00433A31" w:rsidRDefault="00CD17A4" w:rsidP="00CD17A4"/>
    <w:p w14:paraId="05CB5F36" w14:textId="04194F67" w:rsidR="003C04D2" w:rsidRPr="003C04D2" w:rsidRDefault="003C04D2" w:rsidP="003C04D2">
      <w:pPr>
        <w:ind w:firstLine="708"/>
        <w:rPr>
          <w:color w:val="000000" w:themeColor="text1"/>
        </w:rPr>
      </w:pPr>
      <w:r w:rsidRPr="003C04D2">
        <w:rPr>
          <w:color w:val="000000" w:themeColor="text1"/>
        </w:rPr>
        <w:t>O conjunto de variáveis foi definido para representar, de modo parcimonioso e alinhado ao objetivo do estudo, o nexo entre os incentivos fiscais (insumo) e os resultados econômicos e sociais (valor adicionado e emprego), preservando a distinção entre características estruturais — que descrevem tecnologia, porte e exposição relativa ao subsídio — e desempenho — que será mensurado por meio do DEA. Por desenho, valor adicionado e emprego aparecem exclusivamente como outputs do DEA; variáveis estruturais compõem a etapa de segmentação.</w:t>
      </w:r>
    </w:p>
    <w:p w14:paraId="04B5DB7F" w14:textId="0F2F12AA" w:rsidR="003C04D2" w:rsidRPr="003C04D2" w:rsidRDefault="003C04D2" w:rsidP="00C84827">
      <w:pPr>
        <w:ind w:firstLine="708"/>
        <w:rPr>
          <w:color w:val="000000" w:themeColor="text1"/>
        </w:rPr>
      </w:pPr>
      <w:r w:rsidRPr="003C04D2">
        <w:rPr>
          <w:color w:val="000000" w:themeColor="text1"/>
        </w:rPr>
        <w:t>O input do DEA é o incentivo fiscal do subsetor-ano</w:t>
      </w:r>
      <w:r>
        <w:rPr>
          <w:color w:val="000000" w:themeColor="text1"/>
        </w:rPr>
        <w:t xml:space="preserve"> </w:t>
      </w:r>
      <m:oMath>
        <m:r>
          <m:rPr>
            <m:sty m:val="bi"/>
          </m:rPr>
          <w:rPr>
            <w:rFonts w:ascii="Cambria Math" w:hAnsi="Cambria Math"/>
            <w:color w:val="000000" w:themeColor="text1"/>
          </w:rPr>
          <m:t>(</m:t>
        </m:r>
        <m:sSub>
          <m:sSubPr>
            <m:ctrlPr>
              <w:rPr>
                <w:rFonts w:ascii="Cambria Math" w:eastAsiaTheme="minorEastAsia"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i,t​)</m:t>
            </m:r>
            <m:r>
              <m:rPr>
                <m:sty m:val="p"/>
              </m:rPr>
              <w:rPr>
                <w:rFonts w:ascii="Cambria Math" w:hAnsi="Cambria Math"/>
                <w:color w:val="000000" w:themeColor="text1"/>
              </w:rPr>
              <m:t xml:space="preserve">. </m:t>
            </m:r>
          </m:sub>
        </m:sSub>
      </m:oMath>
      <w:r w:rsidRPr="003C04D2">
        <w:rPr>
          <w:color w:val="000000" w:themeColor="text1"/>
        </w:rPr>
        <w:t xml:space="preserve">Os outputs são o valor </w:t>
      </w:r>
      <w:r w:rsidRPr="00211F10">
        <w:rPr>
          <w:color w:val="000000" w:themeColor="text1"/>
        </w:rPr>
        <w:t>adicionado (</w:t>
      </w:r>
      <m:oMath>
        <m:r>
          <w:rPr>
            <w:rFonts w:ascii="Cambria Math" w:hAnsi="Cambria Math"/>
            <w:color w:val="000000" w:themeColor="text1"/>
          </w:rPr>
          <m:t>V</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r>
              <w:rPr>
                <w:rFonts w:ascii="Cambria Math" w:hAnsi="Cambria Math"/>
                <w:color w:val="000000" w:themeColor="text1"/>
              </w:rPr>
              <m:t>,t</m:t>
            </m:r>
          </m:sub>
        </m:sSub>
      </m:oMath>
      <w:r w:rsidRPr="00211F10">
        <w:rPr>
          <w:rFonts w:eastAsiaTheme="minorEastAsia"/>
          <w:color w:val="000000" w:themeColor="text1"/>
        </w:rPr>
        <w:t xml:space="preserve">) </w:t>
      </w:r>
      <w:r w:rsidRPr="00211F10">
        <w:rPr>
          <w:color w:val="000000" w:themeColor="text1"/>
        </w:rPr>
        <w:t xml:space="preserve">e o emprego formal </w:t>
      </w:r>
      <w:r w:rsidR="00C84827" w:rsidRPr="00211F10">
        <w:rPr>
          <w:color w:val="000000" w:themeColor="text1"/>
        </w:rPr>
        <w:t>(</w:t>
      </w: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i,t</m:t>
            </m:r>
          </m:sub>
        </m:sSub>
      </m:oMath>
      <w:r w:rsidR="00C84827" w:rsidRPr="00211F10">
        <w:rPr>
          <w:rFonts w:eastAsiaTheme="minorEastAsia"/>
          <w:color w:val="000000" w:themeColor="text1"/>
        </w:rPr>
        <w:t xml:space="preserve">), </w:t>
      </w:r>
      <w:r w:rsidRPr="00211F10">
        <w:rPr>
          <w:color w:val="000000" w:themeColor="text1"/>
        </w:rPr>
        <w:t>todos em</w:t>
      </w:r>
      <w:r w:rsidRPr="003C04D2">
        <w:rPr>
          <w:color w:val="000000" w:themeColor="text1"/>
        </w:rPr>
        <w:t xml:space="preserve"> nível de subsetor e ano, com séries monetárias convertidas para preços de 2023 (conforme 4.2). A dimensão estrutural é </w:t>
      </w:r>
      <w:r w:rsidRPr="003C04D2">
        <w:rPr>
          <w:color w:val="000000" w:themeColor="text1"/>
        </w:rPr>
        <w:lastRenderedPageBreak/>
        <w:t>captada principalmente pela automação, pela exposição relativa aos incentivos e por uma medida de porte baseada em capital.</w:t>
      </w:r>
    </w:p>
    <w:p w14:paraId="0979A492" w14:textId="7CBEE1E9" w:rsidR="00C84827" w:rsidRDefault="003C04D2" w:rsidP="00FF66E7">
      <w:pPr>
        <w:ind w:firstLine="708"/>
        <w:rPr>
          <w:color w:val="000000" w:themeColor="text1"/>
        </w:rPr>
      </w:pPr>
      <w:r w:rsidRPr="003C04D2">
        <w:rPr>
          <w:color w:val="000000" w:themeColor="text1"/>
        </w:rPr>
        <w:t>A proxy de automação é a razão CAPEX/emprego:</w:t>
      </w:r>
    </w:p>
    <w:p w14:paraId="670337E4" w14:textId="702B121C" w:rsidR="00DC36E8" w:rsidRDefault="00DC36E8" w:rsidP="00DC36E8">
      <w:pPr>
        <w:pStyle w:val="Legenda"/>
        <w:keepNext/>
      </w:pPr>
      <w:r>
        <w:fldChar w:fldCharType="begin"/>
      </w:r>
      <w:r>
        <w:instrText xml:space="preserve"> SEQ Equação \* ARABIC </w:instrText>
      </w:r>
      <w:r>
        <w:fldChar w:fldCharType="separate"/>
      </w:r>
      <w:r w:rsidR="00F7526F">
        <w:rPr>
          <w:noProof/>
        </w:rPr>
        <w:t>2</w:t>
      </w:r>
      <w:r>
        <w:fldChar w:fldCharType="end"/>
      </w:r>
    </w:p>
    <w:p w14:paraId="1E38C8F5" w14:textId="41ED98AD" w:rsidR="00DC36E8" w:rsidRPr="00FF66E7" w:rsidRDefault="00000000" w:rsidP="00FF66E7">
      <w:pPr>
        <w:ind w:firstLine="708"/>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i,t</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CAPE</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i,t</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i,t</m:t>
                  </m:r>
                </m:sub>
              </m:sSub>
              <m:ctrlPr>
                <w:rPr>
                  <w:rFonts w:ascii="Cambria Math" w:hAnsi="Cambria Math"/>
                  <w:i/>
                  <w:color w:val="000000" w:themeColor="text1"/>
                </w:rPr>
              </m:ctrlPr>
            </m:den>
          </m:f>
        </m:oMath>
      </m:oMathPara>
    </w:p>
    <w:p w14:paraId="4B911833" w14:textId="77777777" w:rsidR="00FF66E7" w:rsidRPr="00C84827" w:rsidRDefault="00FF66E7" w:rsidP="00FF66E7">
      <w:pPr>
        <w:ind w:firstLine="708"/>
        <w:rPr>
          <w:rFonts w:eastAsiaTheme="minorEastAsia"/>
          <w:color w:val="000000" w:themeColor="text1"/>
        </w:rPr>
      </w:pPr>
    </w:p>
    <w:p w14:paraId="0A4C87DC" w14:textId="1A3BA1E7" w:rsidR="00C84827" w:rsidRDefault="00C84827" w:rsidP="00FF66E7">
      <w:pPr>
        <w:ind w:firstLine="708"/>
        <w:rPr>
          <w:color w:val="000000" w:themeColor="text1"/>
        </w:rPr>
      </w:pPr>
      <w:r w:rsidRPr="00C84827">
        <w:rPr>
          <w:color w:val="000000" w:themeColor="text1"/>
        </w:rPr>
        <w:t>A exposição relativa do incentivo é medida por sua intensidade sobre o VA e por empregado:</w:t>
      </w:r>
    </w:p>
    <w:p w14:paraId="67D1613E" w14:textId="57F5C834" w:rsidR="00DC36E8" w:rsidRDefault="00DC36E8" w:rsidP="00DC36E8">
      <w:pPr>
        <w:pStyle w:val="Legenda"/>
        <w:keepNext/>
      </w:pPr>
      <w:r>
        <w:fldChar w:fldCharType="begin"/>
      </w:r>
      <w:r>
        <w:instrText xml:space="preserve"> SEQ Equação \* ARABIC </w:instrText>
      </w:r>
      <w:r>
        <w:fldChar w:fldCharType="separate"/>
      </w:r>
      <w:r w:rsidR="00F7526F">
        <w:rPr>
          <w:noProof/>
        </w:rPr>
        <w:t>3</w:t>
      </w:r>
      <w:r>
        <w:fldChar w:fldCharType="end"/>
      </w:r>
    </w:p>
    <w:p w14:paraId="39ADFC44" w14:textId="294D6C2C" w:rsidR="00DC36E8" w:rsidRPr="00FF66E7" w:rsidRDefault="00000000" w:rsidP="00FF66E7">
      <w:pPr>
        <w:rPr>
          <w:rFonts w:eastAsiaTheme="minorEastAsia"/>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R</m:t>
              </m:r>
            </m:e>
            <m:sub>
              <m:r>
                <w:rPr>
                  <w:rFonts w:ascii="Cambria Math" w:hAnsi="Cambria Math"/>
                  <w:color w:val="000000" w:themeColor="text1"/>
                </w:rPr>
                <m:t>i,t</m:t>
              </m:r>
            </m:sub>
            <m:sup>
              <m:r>
                <w:rPr>
                  <w:rFonts w:ascii="Cambria Math" w:hAnsi="Cambria Math"/>
                  <w:color w:val="000000" w:themeColor="text1"/>
                </w:rPr>
                <m:t>I</m:t>
              </m:r>
              <m:r>
                <m:rPr>
                  <m:lit/>
                </m:rPr>
                <w:rPr>
                  <w:rFonts w:ascii="Cambria Math" w:hAnsi="Cambria Math"/>
                  <w:color w:val="000000" w:themeColor="text1"/>
                </w:rPr>
                <m:t>/</m:t>
              </m:r>
              <m:r>
                <w:rPr>
                  <w:rFonts w:ascii="Cambria Math" w:hAnsi="Cambria Math"/>
                  <w:color w:val="000000" w:themeColor="text1"/>
                </w:rPr>
                <m:t>VA</m:t>
              </m:r>
            </m:sup>
          </m:sSubSup>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i,t</m:t>
                  </m:r>
                </m:sub>
              </m:sSub>
              <m:ctrlPr>
                <w:rPr>
                  <w:rFonts w:ascii="Cambria Math" w:hAnsi="Cambria Math"/>
                  <w:i/>
                  <w:color w:val="000000" w:themeColor="text1"/>
                </w:rPr>
              </m:ctrlPr>
            </m:num>
            <m:den>
              <m:r>
                <w:rPr>
                  <w:rFonts w:ascii="Cambria Math" w:hAnsi="Cambria Math"/>
                  <w:color w:val="000000" w:themeColor="text1"/>
                </w:rPr>
                <m:t>V</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i,t</m:t>
                  </m:r>
                </m:sub>
              </m:sSub>
              <m:ctrlPr>
                <w:rPr>
                  <w:rFonts w:ascii="Cambria Math" w:hAnsi="Cambria Math"/>
                  <w:i/>
                  <w:color w:val="000000" w:themeColor="text1"/>
                </w:rPr>
              </m:ctrlPr>
            </m:den>
          </m:f>
        </m:oMath>
      </m:oMathPara>
    </w:p>
    <w:p w14:paraId="17930B97" w14:textId="554A1CF7" w:rsidR="00DC36E8" w:rsidRDefault="00DC36E8" w:rsidP="00DC36E8">
      <w:pPr>
        <w:pStyle w:val="Legenda"/>
        <w:keepNext/>
      </w:pPr>
      <w:r>
        <w:fldChar w:fldCharType="begin"/>
      </w:r>
      <w:r>
        <w:instrText xml:space="preserve"> SEQ Equação \* ARABIC </w:instrText>
      </w:r>
      <w:r>
        <w:fldChar w:fldCharType="separate"/>
      </w:r>
      <w:r w:rsidR="00F7526F">
        <w:rPr>
          <w:noProof/>
        </w:rPr>
        <w:t>4</w:t>
      </w:r>
      <w:r>
        <w:fldChar w:fldCharType="end"/>
      </w:r>
    </w:p>
    <w:p w14:paraId="14A50B61" w14:textId="459C9F71" w:rsidR="00CD17A4" w:rsidRPr="00FF66E7" w:rsidRDefault="00000000" w:rsidP="00CE6A6B">
      <w:pPr>
        <w:ind w:firstLine="708"/>
        <w:rPr>
          <w:rFonts w:eastAsiaTheme="minorEastAsia"/>
          <w:color w:val="000000" w:themeColor="text1"/>
        </w:rPr>
      </w:pPr>
      <m:oMathPara>
        <m:oMath>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R</m:t>
              </m:r>
            </m:e>
            <m:sub>
              <m:r>
                <w:rPr>
                  <w:rFonts w:ascii="Cambria Math" w:eastAsiaTheme="minorEastAsia" w:hAnsi="Cambria Math"/>
                  <w:color w:val="000000" w:themeColor="text1"/>
                </w:rPr>
                <m:t>i,t</m:t>
              </m:r>
            </m:sub>
            <m:sup>
              <m:r>
                <w:rPr>
                  <w:rFonts w:ascii="Cambria Math" w:eastAsiaTheme="minorEastAsia" w:hAnsi="Cambria Math"/>
                  <w:color w:val="000000" w:themeColor="text1"/>
                </w:rPr>
                <m:t>I</m:t>
              </m:r>
              <m:r>
                <m:rPr>
                  <m:lit/>
                </m:rPr>
                <w:rPr>
                  <w:rFonts w:ascii="Cambria Math" w:eastAsiaTheme="minorEastAsia" w:hAnsi="Cambria Math"/>
                  <w:color w:val="000000" w:themeColor="text1"/>
                </w:rPr>
                <m:t>/</m:t>
              </m:r>
              <m:r>
                <w:rPr>
                  <w:rFonts w:ascii="Cambria Math" w:eastAsiaTheme="minorEastAsia" w:hAnsi="Cambria Math"/>
                  <w:color w:val="000000" w:themeColor="text1"/>
                </w:rPr>
                <m:t>E</m:t>
              </m:r>
            </m:sup>
          </m:sSubSup>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i,t</m:t>
                  </m:r>
                </m:sub>
              </m:sSub>
              <m:ctrlPr>
                <w:rPr>
                  <w:rFonts w:ascii="Cambria Math" w:eastAsiaTheme="minorEastAsia" w:hAnsi="Cambria Math"/>
                  <w:i/>
                  <w:color w:val="000000" w:themeColor="text1"/>
                </w:rPr>
              </m:ctrlPr>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E</m:t>
                  </m:r>
                </m:e>
                <m:sub>
                  <m:r>
                    <w:rPr>
                      <w:rFonts w:ascii="Cambria Math" w:eastAsiaTheme="minorEastAsia" w:hAnsi="Cambria Math"/>
                      <w:color w:val="000000" w:themeColor="text1"/>
                    </w:rPr>
                    <m:t>i,t</m:t>
                  </m:r>
                </m:sub>
              </m:sSub>
              <m:ctrlPr>
                <w:rPr>
                  <w:rFonts w:ascii="Cambria Math" w:eastAsiaTheme="minorEastAsia" w:hAnsi="Cambria Math"/>
                  <w:i/>
                  <w:color w:val="000000" w:themeColor="text1"/>
                </w:rPr>
              </m:ctrlPr>
            </m:den>
          </m:f>
        </m:oMath>
      </m:oMathPara>
    </w:p>
    <w:p w14:paraId="612F0B66" w14:textId="77777777" w:rsidR="00FF66E7" w:rsidRDefault="00FF66E7" w:rsidP="00CE6A6B">
      <w:pPr>
        <w:ind w:firstLine="708"/>
        <w:rPr>
          <w:rFonts w:eastAsiaTheme="minorEastAsia"/>
          <w:color w:val="000000" w:themeColor="text1"/>
        </w:rPr>
      </w:pPr>
    </w:p>
    <w:p w14:paraId="0BD3A663" w14:textId="51A2CFF2" w:rsidR="00EB5466" w:rsidRDefault="00C84827" w:rsidP="00EB5466">
      <w:pPr>
        <w:ind w:firstLine="708"/>
        <w:rPr>
          <w:rFonts w:eastAsiaTheme="minorEastAsia"/>
          <w:color w:val="000000" w:themeColor="text1"/>
        </w:rPr>
      </w:pPr>
      <w:r w:rsidRPr="00C84827">
        <w:rPr>
          <w:rFonts w:eastAsiaTheme="minorEastAsia"/>
          <w:color w:val="000000" w:themeColor="text1"/>
        </w:rPr>
        <w:t xml:space="preserve">Como medida </w:t>
      </w:r>
      <w:r w:rsidR="00DC36E8" w:rsidRPr="00C84827">
        <w:rPr>
          <w:rFonts w:eastAsiaTheme="minorEastAsia"/>
          <w:color w:val="000000" w:themeColor="text1"/>
        </w:rPr>
        <w:t>parcimoniosa</w:t>
      </w:r>
      <w:r w:rsidRPr="00C84827">
        <w:rPr>
          <w:rFonts w:eastAsiaTheme="minorEastAsia"/>
          <w:color w:val="000000" w:themeColor="text1"/>
        </w:rPr>
        <w:t xml:space="preserve"> de porte baseada em capital, utiliza-se o logaritmo do CAPEX:</w:t>
      </w:r>
    </w:p>
    <w:p w14:paraId="2E88BECF" w14:textId="65643D47" w:rsidR="00DC36E8" w:rsidRDefault="00DC36E8" w:rsidP="00DC36E8">
      <w:pPr>
        <w:pStyle w:val="Legenda"/>
        <w:keepNext/>
      </w:pPr>
      <w:r>
        <w:fldChar w:fldCharType="begin"/>
      </w:r>
      <w:r>
        <w:instrText xml:space="preserve"> SEQ Equação \* ARABIC </w:instrText>
      </w:r>
      <w:r>
        <w:fldChar w:fldCharType="separate"/>
      </w:r>
      <w:r w:rsidR="00F7526F">
        <w:rPr>
          <w:noProof/>
        </w:rPr>
        <w:t>5</w:t>
      </w:r>
      <w:r>
        <w:fldChar w:fldCharType="end"/>
      </w:r>
    </w:p>
    <w:p w14:paraId="46FB45AA" w14:textId="1A5F78BD" w:rsidR="00C84827" w:rsidRPr="00C84827" w:rsidRDefault="00000000" w:rsidP="005923ED">
      <w:pPr>
        <w:ind w:firstLine="708"/>
        <w:rPr>
          <w:rFonts w:eastAsiaTheme="minorEastAsia"/>
          <w:color w:val="000000" w:themeColor="text1"/>
        </w:rPr>
      </w:pPr>
      <m:oMathPara>
        <m:oMath>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S</m:t>
              </m:r>
            </m:e>
            <m:sub>
              <m:r>
                <w:rPr>
                  <w:rFonts w:ascii="Cambria Math" w:eastAsiaTheme="minorEastAsia" w:hAnsi="Cambria Math"/>
                  <w:color w:val="000000" w:themeColor="text1"/>
                </w:rPr>
                <m:t>i,t</m:t>
              </m:r>
            </m:sub>
            <m:sup>
              <m:r>
                <w:rPr>
                  <w:rFonts w:ascii="Cambria Math" w:eastAsiaTheme="minorEastAsia" w:hAnsi="Cambria Math"/>
                  <w:color w:val="000000" w:themeColor="text1"/>
                </w:rPr>
                <m:t>K</m:t>
              </m:r>
            </m:sup>
          </m:sSubSup>
          <m:r>
            <w:rPr>
              <w:rFonts w:ascii="Cambria Math" w:eastAsiaTheme="minorEastAsia" w:hAnsi="Cambria Math"/>
              <w:color w:val="000000" w:themeColor="text1"/>
            </w:rPr>
            <m:t>=</m:t>
          </m:r>
          <m:func>
            <m:funcPr>
              <m:ctrlPr>
                <w:rPr>
                  <w:rFonts w:ascii="Cambria Math" w:eastAsiaTheme="minorEastAsia" w:hAnsi="Cambria Math"/>
                  <w:color w:val="000000" w:themeColor="text1"/>
                </w:rPr>
              </m:ctrlPr>
            </m:funcPr>
            <m:fName>
              <m:r>
                <m:rPr>
                  <m:sty m:val="p"/>
                </m:rPr>
                <w:rPr>
                  <w:rFonts w:ascii="Cambria Math" w:eastAsiaTheme="minorEastAsia" w:hAnsi="Cambria Math"/>
                  <w:color w:val="000000" w:themeColor="text1"/>
                </w:rPr>
                <m:t>ln</m:t>
              </m:r>
              <m:ctrlPr>
                <w:rPr>
                  <w:rFonts w:ascii="Cambria Math" w:eastAsiaTheme="minorEastAsia" w:hAnsi="Cambria Math"/>
                  <w:i/>
                  <w:color w:val="000000" w:themeColor="text1"/>
                </w:rPr>
              </m:ctrlPr>
            </m:fName>
            <m:e>
              <m:d>
                <m:dPr>
                  <m:ctrlPr>
                    <w:rPr>
                      <w:rFonts w:ascii="Cambria Math" w:eastAsiaTheme="minorEastAsia" w:hAnsi="Cambria Math"/>
                      <w:i/>
                      <w:color w:val="000000" w:themeColor="text1"/>
                    </w:rPr>
                  </m:ctrlPr>
                </m:dPr>
                <m:e>
                  <m:r>
                    <w:rPr>
                      <w:rFonts w:ascii="Cambria Math" w:eastAsiaTheme="minorEastAsia" w:hAnsi="Cambria Math"/>
                      <w:color w:val="000000" w:themeColor="text1"/>
                    </w:rPr>
                    <m:t>CAPE</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i,t</m:t>
                      </m:r>
                    </m:sub>
                  </m:sSub>
                </m:e>
              </m:d>
            </m:e>
          </m:func>
        </m:oMath>
      </m:oMathPara>
    </w:p>
    <w:p w14:paraId="6BE0FBAC" w14:textId="77777777" w:rsidR="00C84827" w:rsidRPr="005923ED" w:rsidRDefault="00C84827" w:rsidP="005923ED">
      <w:pPr>
        <w:ind w:firstLine="708"/>
        <w:rPr>
          <w:rFonts w:eastAsiaTheme="minorEastAsia"/>
          <w:color w:val="000000" w:themeColor="text1"/>
        </w:rPr>
      </w:pPr>
    </w:p>
    <w:p w14:paraId="456A5144" w14:textId="5492B8A4" w:rsidR="00C84827" w:rsidRDefault="00C84827" w:rsidP="00DC36E8">
      <w:pPr>
        <w:ind w:firstLine="708"/>
        <w:rPr>
          <w:color w:val="000000" w:themeColor="text1"/>
        </w:rPr>
      </w:pPr>
      <w:r w:rsidRPr="00C84827">
        <w:rPr>
          <w:color w:val="000000" w:themeColor="text1"/>
        </w:rPr>
        <w:t>Essas variáveis</w:t>
      </w:r>
      <w:r>
        <w:rPr>
          <w:color w:val="000000" w:themeColor="text1"/>
        </w:rPr>
        <w:t xml:space="preserve"> -</w:t>
      </w:r>
      <m:oMath>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i,t</m:t>
            </m:r>
          </m:sub>
        </m:sSub>
      </m:oMath>
      <w:r>
        <w:rPr>
          <w:color w:val="000000" w:themeColor="text1"/>
        </w:rPr>
        <w:t xml:space="preserve"> , </w:t>
      </w:r>
      <m:oMath>
        <m:sSubSup>
          <m:sSubSupPr>
            <m:ctrlPr>
              <w:rPr>
                <w:rFonts w:ascii="Cambria Math" w:hAnsi="Cambria Math"/>
                <w:i/>
                <w:color w:val="000000" w:themeColor="text1"/>
              </w:rPr>
            </m:ctrlPr>
          </m:sSubSupPr>
          <m:e>
            <m:r>
              <w:rPr>
                <w:rFonts w:ascii="Cambria Math" w:hAnsi="Cambria Math"/>
                <w:color w:val="000000" w:themeColor="text1"/>
              </w:rPr>
              <m:t>R</m:t>
            </m:r>
          </m:e>
          <m:sub>
            <m:r>
              <w:rPr>
                <w:rFonts w:ascii="Cambria Math" w:hAnsi="Cambria Math"/>
                <w:color w:val="000000" w:themeColor="text1"/>
              </w:rPr>
              <m:t>i,t</m:t>
            </m:r>
          </m:sub>
          <m:sup>
            <m:r>
              <w:rPr>
                <w:rFonts w:ascii="Cambria Math" w:hAnsi="Cambria Math"/>
                <w:color w:val="000000" w:themeColor="text1"/>
              </w:rPr>
              <m:t>I</m:t>
            </m:r>
            <m:r>
              <m:rPr>
                <m:lit/>
              </m:rPr>
              <w:rPr>
                <w:rFonts w:ascii="Cambria Math" w:hAnsi="Cambria Math"/>
                <w:color w:val="000000" w:themeColor="text1"/>
              </w:rPr>
              <m:t>/</m:t>
            </m:r>
            <m:r>
              <w:rPr>
                <w:rFonts w:ascii="Cambria Math" w:hAnsi="Cambria Math"/>
                <w:color w:val="000000" w:themeColor="text1"/>
              </w:rPr>
              <m:t>VA</m:t>
            </m:r>
          </m:sup>
        </m:sSubSup>
      </m:oMath>
      <w:r>
        <w:rPr>
          <w:color w:val="000000" w:themeColor="text1"/>
        </w:rPr>
        <w:t xml:space="preserve">, </w:t>
      </w:r>
      <m:oMath>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R</m:t>
            </m:r>
          </m:e>
          <m:sub>
            <m:r>
              <w:rPr>
                <w:rFonts w:ascii="Cambria Math" w:eastAsiaTheme="minorEastAsia" w:hAnsi="Cambria Math"/>
                <w:color w:val="000000" w:themeColor="text1"/>
              </w:rPr>
              <m:t>i,t</m:t>
            </m:r>
          </m:sub>
          <m:sup>
            <m:r>
              <w:rPr>
                <w:rFonts w:ascii="Cambria Math" w:eastAsiaTheme="minorEastAsia" w:hAnsi="Cambria Math"/>
                <w:color w:val="000000" w:themeColor="text1"/>
              </w:rPr>
              <m:t>I</m:t>
            </m:r>
            <m:r>
              <m:rPr>
                <m:lit/>
              </m:rPr>
              <w:rPr>
                <w:rFonts w:ascii="Cambria Math" w:eastAsiaTheme="minorEastAsia" w:hAnsi="Cambria Math"/>
                <w:color w:val="000000" w:themeColor="text1"/>
              </w:rPr>
              <m:t>/</m:t>
            </m:r>
            <m:r>
              <w:rPr>
                <w:rFonts w:ascii="Cambria Math" w:eastAsiaTheme="minorEastAsia" w:hAnsi="Cambria Math"/>
                <w:color w:val="000000" w:themeColor="text1"/>
              </w:rPr>
              <m:t>E</m:t>
            </m:r>
          </m:sup>
        </m:sSubSup>
      </m:oMath>
      <w:r>
        <w:rPr>
          <w:color w:val="000000" w:themeColor="text1"/>
        </w:rPr>
        <w:t xml:space="preserve"> e </w:t>
      </w:r>
      <m:oMath>
        <m:sSubSup>
          <m:sSubSupPr>
            <m:ctrlPr>
              <w:rPr>
                <w:rFonts w:ascii="Cambria Math" w:hAnsi="Cambria Math"/>
                <w:i/>
                <w:color w:val="000000" w:themeColor="text1"/>
              </w:rPr>
            </m:ctrlPr>
          </m:sSubSupPr>
          <m:e>
            <m:r>
              <w:rPr>
                <w:rFonts w:ascii="Cambria Math" w:hAnsi="Cambria Math"/>
                <w:color w:val="000000" w:themeColor="text1"/>
              </w:rPr>
              <m:t>S</m:t>
            </m:r>
          </m:e>
          <m:sub>
            <m:r>
              <w:rPr>
                <w:rFonts w:ascii="Cambria Math" w:hAnsi="Cambria Math"/>
                <w:color w:val="000000" w:themeColor="text1"/>
              </w:rPr>
              <m:t>i,t</m:t>
            </m:r>
          </m:sub>
          <m:sup>
            <m:r>
              <w:rPr>
                <w:rFonts w:ascii="Cambria Math" w:hAnsi="Cambria Math"/>
                <w:color w:val="000000" w:themeColor="text1"/>
              </w:rPr>
              <m:t>K</m:t>
            </m:r>
          </m:sup>
        </m:sSubSup>
      </m:oMath>
      <w:r>
        <w:rPr>
          <w:color w:val="000000" w:themeColor="text1"/>
        </w:rPr>
        <w:t xml:space="preserve">   </w:t>
      </w:r>
      <w:r w:rsidRPr="00C84827">
        <w:rPr>
          <w:color w:val="000000" w:themeColor="text1"/>
        </w:rPr>
        <w:t xml:space="preserve">descrevem a estrutura tecnológica/escala antes da avaliação de eficiência e, por isso, integram a clusterização; VA e </w:t>
      </w:r>
      <w:proofErr w:type="spellStart"/>
      <w:r w:rsidRPr="00C84827">
        <w:rPr>
          <w:color w:val="000000" w:themeColor="text1"/>
        </w:rPr>
        <w:t>E</w:t>
      </w:r>
      <w:proofErr w:type="spellEnd"/>
      <w:r w:rsidRPr="00C84827">
        <w:rPr>
          <w:color w:val="000000" w:themeColor="text1"/>
        </w:rPr>
        <w:t xml:space="preserve"> permanecem fora da segmentação para evitar vazamento de informação entre etapas.</w:t>
      </w:r>
    </w:p>
    <w:p w14:paraId="43E9CA39" w14:textId="02C2C049" w:rsidR="00DC36E8" w:rsidRPr="00C84827" w:rsidRDefault="00C84827" w:rsidP="00FF66E7">
      <w:pPr>
        <w:ind w:firstLine="708"/>
        <w:rPr>
          <w:color w:val="000000" w:themeColor="text1"/>
        </w:rPr>
      </w:pPr>
      <w:r>
        <w:rPr>
          <w:color w:val="000000" w:themeColor="text1"/>
        </w:rPr>
        <w:t>Para o p</w:t>
      </w:r>
      <w:r w:rsidRPr="00C84827">
        <w:rPr>
          <w:color w:val="000000" w:themeColor="text1"/>
        </w:rPr>
        <w:t>ré-processament</w:t>
      </w:r>
      <w:r>
        <w:rPr>
          <w:color w:val="000000" w:themeColor="text1"/>
        </w:rPr>
        <w:t>o, t</w:t>
      </w:r>
      <w:r w:rsidRPr="00C84827">
        <w:rPr>
          <w:color w:val="000000" w:themeColor="text1"/>
        </w:rPr>
        <w:t>odas as variáveis monetárias (I, VA, CAPEX) são deflacionadas para 2023 (vide 4.2). Para atenuar assimetrias e reduzir a influência de caudas longas, séries altamente dispersas são transformadas via logaritmo natural:</w:t>
      </w:r>
    </w:p>
    <w:p w14:paraId="248CDCB1" w14:textId="6DE53147" w:rsidR="00856929" w:rsidRDefault="00856929" w:rsidP="00856929">
      <w:pPr>
        <w:pStyle w:val="Legenda"/>
        <w:keepNext/>
      </w:pPr>
      <w:r>
        <w:fldChar w:fldCharType="begin"/>
      </w:r>
      <w:r>
        <w:instrText xml:space="preserve"> SEQ Equação \* ARABIC </w:instrText>
      </w:r>
      <w:r>
        <w:fldChar w:fldCharType="separate"/>
      </w:r>
      <w:r w:rsidR="00F7526F">
        <w:rPr>
          <w:noProof/>
        </w:rPr>
        <w:t>6</w:t>
      </w:r>
      <w:r>
        <w:fldChar w:fldCharType="end"/>
      </w:r>
    </w:p>
    <w:p w14:paraId="1583C751" w14:textId="309E8544" w:rsidR="00C84827" w:rsidRPr="00FF66E7" w:rsidRDefault="00000000" w:rsidP="00C84827">
      <w:pPr>
        <w:ind w:firstLine="708"/>
        <w:rPr>
          <w:rFonts w:eastAsiaTheme="minorEastAsia"/>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i,t</m:t>
              </m:r>
            </m:sub>
            <m:sup>
              <m:r>
                <w:rPr>
                  <w:rFonts w:ascii="Cambria Math" w:hAnsi="Cambria Math"/>
                  <w:color w:val="000000" w:themeColor="text1"/>
                </w:rPr>
                <m:t>'</m:t>
              </m:r>
            </m:sup>
          </m:sSubSup>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ln</m:t>
              </m:r>
              <m:ctrlPr>
                <w:rPr>
                  <w:rFonts w:ascii="Cambria Math" w:hAnsi="Cambria Math"/>
                  <w:i/>
                  <w:color w:val="000000" w:themeColor="text1"/>
                </w:rPr>
              </m:ctrlP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i,t\</m:t>
                      </m:r>
                    </m:sub>
                  </m:sSub>
                </m:e>
              </m:d>
            </m:e>
          </m:func>
        </m:oMath>
      </m:oMathPara>
    </w:p>
    <w:p w14:paraId="5F73C082" w14:textId="77777777" w:rsidR="00FF66E7" w:rsidRDefault="00FF66E7" w:rsidP="00C84827">
      <w:pPr>
        <w:ind w:firstLine="708"/>
        <w:rPr>
          <w:rFonts w:eastAsiaTheme="minorEastAsia"/>
          <w:color w:val="000000" w:themeColor="text1"/>
        </w:rPr>
      </w:pPr>
    </w:p>
    <w:p w14:paraId="2FD52CD0" w14:textId="55FB8AD3" w:rsidR="00DC36E8" w:rsidRPr="00C84827" w:rsidRDefault="00C84827" w:rsidP="00FF66E7">
      <w:pPr>
        <w:ind w:firstLine="708"/>
        <w:rPr>
          <w:color w:val="000000" w:themeColor="text1"/>
        </w:rPr>
      </w:pPr>
      <w:r w:rsidRPr="00C84827">
        <w:rPr>
          <w:color w:val="000000" w:themeColor="text1"/>
        </w:rPr>
        <w:t xml:space="preserve">A análise principal utiliza </w:t>
      </w:r>
      <w:proofErr w:type="spellStart"/>
      <w:r w:rsidRPr="00C84827">
        <w:rPr>
          <w:color w:val="000000" w:themeColor="text1"/>
        </w:rPr>
        <w:t>winsorização</w:t>
      </w:r>
      <w:proofErr w:type="spellEnd"/>
      <w:r w:rsidRPr="00C84827">
        <w:rPr>
          <w:color w:val="000000" w:themeColor="text1"/>
        </w:rPr>
        <w:t xml:space="preserve"> nos percentis 1 e 99 para I, VA, CAPEX e razões que os contenham, preservando a comparabilidade e mitigando valores extremos:</w:t>
      </w:r>
    </w:p>
    <w:p w14:paraId="36053C07" w14:textId="049383E1" w:rsidR="00856929" w:rsidRDefault="00856929" w:rsidP="00856929">
      <w:pPr>
        <w:pStyle w:val="Legenda"/>
        <w:keepNext/>
      </w:pPr>
      <w:r>
        <w:lastRenderedPageBreak/>
        <w:fldChar w:fldCharType="begin"/>
      </w:r>
      <w:r>
        <w:instrText xml:space="preserve"> SEQ Equação \* ARABIC </w:instrText>
      </w:r>
      <w:r>
        <w:fldChar w:fldCharType="separate"/>
      </w:r>
      <w:r w:rsidR="00F7526F">
        <w:rPr>
          <w:noProof/>
        </w:rPr>
        <w:t>7</w:t>
      </w:r>
      <w:r>
        <w:fldChar w:fldCharType="end"/>
      </w:r>
    </w:p>
    <w:p w14:paraId="78340E8B" w14:textId="4D3D6C72" w:rsidR="00397B0E" w:rsidRPr="00C84827" w:rsidRDefault="00000000" w:rsidP="00B14852">
      <w:pPr>
        <w:ind w:firstLine="708"/>
        <w:rPr>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i,t</m:t>
              </m:r>
            </m:sub>
            <m:sup>
              <m:d>
                <m:dPr>
                  <m:ctrlPr>
                    <w:rPr>
                      <w:rFonts w:ascii="Cambria Math" w:hAnsi="Cambria Math"/>
                      <w:i/>
                      <w:color w:val="000000" w:themeColor="text1"/>
                    </w:rPr>
                  </m:ctrlPr>
                </m:dPr>
                <m:e>
                  <m:r>
                    <w:rPr>
                      <w:rFonts w:ascii="Cambria Math" w:hAnsi="Cambria Math"/>
                      <w:color w:val="000000" w:themeColor="text1"/>
                    </w:rPr>
                    <m:t>w</m:t>
                  </m:r>
                </m:e>
              </m:d>
            </m:sup>
          </m:sSubSup>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min</m:t>
              </m:r>
              <m:ctrlPr>
                <w:rPr>
                  <w:rFonts w:ascii="Cambria Math" w:hAnsi="Cambria Math"/>
                  <w:i/>
                  <w:color w:val="000000" w:themeColor="text1"/>
                </w:rPr>
              </m:ctrlPr>
            </m:fName>
            <m:e>
              <m:d>
                <m:dPr>
                  <m:ctrlPr>
                    <w:rPr>
                      <w:rFonts w:ascii="Cambria Math" w:hAnsi="Cambria Math"/>
                      <w:i/>
                      <w:color w:val="000000" w:themeColor="text1"/>
                    </w:rPr>
                  </m:ctrlPr>
                </m:dPr>
                <m:e>
                  <m:func>
                    <m:funcPr>
                      <m:ctrlPr>
                        <w:rPr>
                          <w:rFonts w:ascii="Cambria Math" w:hAnsi="Cambria Math"/>
                          <w:color w:val="000000" w:themeColor="text1"/>
                        </w:rPr>
                      </m:ctrlPr>
                    </m:funcPr>
                    <m:fName>
                      <m:r>
                        <m:rPr>
                          <m:sty m:val="p"/>
                        </m:rPr>
                        <w:rPr>
                          <w:rFonts w:ascii="Cambria Math" w:hAnsi="Cambria Math"/>
                          <w:color w:val="000000" w:themeColor="text1"/>
                        </w:rPr>
                        <m:t>max</m:t>
                      </m:r>
                      <m:ctrlPr>
                        <w:rPr>
                          <w:rFonts w:ascii="Cambria Math" w:hAnsi="Cambria Math"/>
                          <w:i/>
                          <w:color w:val="000000" w:themeColor="text1"/>
                        </w:rPr>
                      </m:ctrlP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0,01</m:t>
                              </m:r>
                            </m:sub>
                          </m:sSub>
                          <m:d>
                            <m:dPr>
                              <m:ctrlPr>
                                <w:rPr>
                                  <w:rFonts w:ascii="Cambria Math" w:hAnsi="Cambria Math"/>
                                  <w:i/>
                                  <w:color w:val="000000" w:themeColor="text1"/>
                                </w:rPr>
                              </m:ctrlPr>
                            </m:dPr>
                            <m:e>
                              <m:r>
                                <w:rPr>
                                  <w:rFonts w:ascii="Cambria Math" w:hAnsi="Cambria Math"/>
                                  <w:color w:val="000000" w:themeColor="text1"/>
                                </w:rPr>
                                <m:t>X</m:t>
                              </m:r>
                            </m:e>
                          </m:d>
                        </m:e>
                      </m:d>
                      <m:r>
                        <w:rPr>
                          <w:rFonts w:ascii="Cambria Math" w:hAnsi="Cambria Math"/>
                          <w:color w:val="000000" w:themeColor="text1"/>
                        </w:rPr>
                        <m:t>, </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0,99</m:t>
                          </m:r>
                        </m:sub>
                      </m:sSub>
                      <m:d>
                        <m:dPr>
                          <m:ctrlPr>
                            <w:rPr>
                              <w:rFonts w:ascii="Cambria Math" w:hAnsi="Cambria Math"/>
                              <w:i/>
                              <w:color w:val="000000" w:themeColor="text1"/>
                            </w:rPr>
                          </m:ctrlPr>
                        </m:dPr>
                        <m:e>
                          <m:r>
                            <w:rPr>
                              <w:rFonts w:ascii="Cambria Math" w:hAnsi="Cambria Math"/>
                              <w:color w:val="000000" w:themeColor="text1"/>
                            </w:rPr>
                            <m:t>X</m:t>
                          </m:r>
                        </m:e>
                      </m:d>
                    </m:e>
                  </m:func>
                </m:e>
              </m:d>
            </m:e>
          </m:func>
          <m:r>
            <w:rPr>
              <w:rFonts w:eastAsiaTheme="minorEastAsia"/>
              <w:color w:val="000000" w:themeColor="text1"/>
            </w:rPr>
            <w:br/>
          </m:r>
        </m:oMath>
      </m:oMathPara>
    </w:p>
    <w:p w14:paraId="74E47BE3" w14:textId="2CABCD9B" w:rsidR="00397B0E" w:rsidRDefault="000A3627" w:rsidP="00FF66E7">
      <w:pPr>
        <w:rPr>
          <w:color w:val="000000" w:themeColor="text1"/>
        </w:rPr>
      </w:pPr>
      <w:r w:rsidRPr="000A3627">
        <w:rPr>
          <w:color w:val="000000" w:themeColor="text1"/>
        </w:rPr>
        <w:t xml:space="preserve">em que </w:t>
      </w:r>
      <m:oMath>
        <m:r>
          <m:rPr>
            <m:sty m:val="bi"/>
          </m:rPr>
          <w:rPr>
            <w:rFonts w:ascii="Cambria Math" w:hAnsi="Cambria Math"/>
            <w:color w:val="000000" w:themeColor="text1"/>
          </w:rPr>
          <m:t>qp</m:t>
        </m:r>
        <m:r>
          <w:rPr>
            <w:rFonts w:ascii="Cambria Math" w:hAnsi="Cambria Math"/>
            <w:color w:val="000000" w:themeColor="text1"/>
          </w:rPr>
          <m:t>​</m:t>
        </m:r>
        <m:d>
          <m:dPr>
            <m:ctrlPr>
              <w:rPr>
                <w:rFonts w:ascii="Cambria Math" w:hAnsi="Cambria Math"/>
                <w:i/>
                <w:color w:val="000000" w:themeColor="text1"/>
              </w:rPr>
            </m:ctrlPr>
          </m:dPr>
          <m:e>
            <m:r>
              <m:rPr>
                <m:sty m:val="bi"/>
              </m:rPr>
              <w:rPr>
                <w:rFonts w:ascii="Cambria Math" w:hAnsi="Cambria Math"/>
                <w:color w:val="000000" w:themeColor="text1"/>
              </w:rPr>
              <m:t>X</m:t>
            </m:r>
          </m:e>
        </m:d>
      </m:oMath>
      <w:r>
        <w:rPr>
          <w:color w:val="000000" w:themeColor="text1"/>
        </w:rPr>
        <w:t xml:space="preserve"> </w:t>
      </w:r>
      <w:r w:rsidRPr="000A3627">
        <w:rPr>
          <w:color w:val="000000" w:themeColor="text1"/>
        </w:rPr>
        <w:t xml:space="preserve">denota o </w:t>
      </w:r>
      <w:proofErr w:type="spellStart"/>
      <w:r w:rsidRPr="000A3627">
        <w:rPr>
          <w:color w:val="000000" w:themeColor="text1"/>
        </w:rPr>
        <w:t>p-ésimo</w:t>
      </w:r>
      <w:proofErr w:type="spellEnd"/>
      <w:r w:rsidRPr="000A3627">
        <w:rPr>
          <w:color w:val="000000" w:themeColor="text1"/>
        </w:rPr>
        <w:t xml:space="preserve"> </w:t>
      </w:r>
      <w:proofErr w:type="spellStart"/>
      <w:r w:rsidRPr="000A3627">
        <w:rPr>
          <w:color w:val="000000" w:themeColor="text1"/>
        </w:rPr>
        <w:t>quantil</w:t>
      </w:r>
      <w:proofErr w:type="spellEnd"/>
      <w:r w:rsidRPr="000A3627">
        <w:rPr>
          <w:color w:val="000000" w:themeColor="text1"/>
        </w:rPr>
        <w:t xml:space="preserve"> calculado no painel empilhado (2018–2023). Para a clusterização, todas as variáveis estruturais são padronizadas (z-score) no painel </w:t>
      </w:r>
      <w:proofErr w:type="spellStart"/>
      <w:r w:rsidRPr="000A3627">
        <w:rPr>
          <w:color w:val="000000" w:themeColor="text1"/>
        </w:rPr>
        <w:t>pooled</w:t>
      </w:r>
      <w:proofErr w:type="spellEnd"/>
      <w:r w:rsidRPr="000A3627">
        <w:rPr>
          <w:color w:val="000000" w:themeColor="text1"/>
        </w:rPr>
        <w:t>, de modo que os grupos reflitam diferenças estruturais e não flutuações anuais:</w:t>
      </w:r>
    </w:p>
    <w:p w14:paraId="19B0169D" w14:textId="1A58D072" w:rsidR="00856929" w:rsidRDefault="00856929" w:rsidP="00856929">
      <w:pPr>
        <w:pStyle w:val="Legenda"/>
        <w:keepNext/>
      </w:pPr>
      <w:r>
        <w:fldChar w:fldCharType="begin"/>
      </w:r>
      <w:r>
        <w:instrText xml:space="preserve"> SEQ Equação \* ARABIC </w:instrText>
      </w:r>
      <w:r>
        <w:fldChar w:fldCharType="separate"/>
      </w:r>
      <w:r w:rsidR="00F7526F">
        <w:rPr>
          <w:noProof/>
        </w:rPr>
        <w:t>8</w:t>
      </w:r>
      <w:r>
        <w:fldChar w:fldCharType="end"/>
      </w:r>
    </w:p>
    <w:p w14:paraId="1815403F" w14:textId="2E09A07D" w:rsidR="000A3627" w:rsidRPr="00FF66E7" w:rsidRDefault="000A3627" w:rsidP="00FF66E7">
      <w:pPr>
        <w:ind w:firstLine="708"/>
        <w:rPr>
          <w:rFonts w:eastAsiaTheme="minorEastAsia"/>
          <w:color w:val="000000" w:themeColor="text1"/>
        </w:rPr>
      </w:pPr>
      <m:oMathPara>
        <m:oMath>
          <m:r>
            <w:rPr>
              <w:rFonts w:ascii="Cambria Math" w:hAnsi="Cambria Math"/>
              <w:color w:val="000000" w:themeColor="text1"/>
            </w:rPr>
            <m:t>Z</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i,t</m:t>
                  </m:r>
                </m:sub>
              </m:sSub>
            </m:e>
          </m:d>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i,t</m:t>
                  </m:r>
                </m:sub>
              </m:sSub>
              <m:r>
                <w:rPr>
                  <w:rFonts w:ascii="Cambria Math" w:hAnsi="Cambria Math"/>
                  <w:color w:val="000000" w:themeColor="text1"/>
                </w:rPr>
                <m:t>-</m:t>
              </m:r>
              <m:acc>
                <m:accPr>
                  <m:chr m:val="̅"/>
                  <m:ctrlPr>
                    <w:rPr>
                      <w:rFonts w:ascii="Cambria Math" w:hAnsi="Cambria Math"/>
                      <w:color w:val="000000" w:themeColor="text1"/>
                    </w:rPr>
                  </m:ctrlPr>
                </m:accPr>
                <m:e>
                  <m:r>
                    <w:rPr>
                      <w:rFonts w:ascii="Cambria Math" w:hAnsi="Cambria Math"/>
                      <w:color w:val="000000" w:themeColor="text1"/>
                    </w:rPr>
                    <m:t>x</m:t>
                  </m:r>
                </m:e>
              </m:acc>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x</m:t>
                  </m:r>
                </m:sub>
              </m:sSub>
              <m:ctrlPr>
                <w:rPr>
                  <w:rFonts w:ascii="Cambria Math" w:hAnsi="Cambria Math"/>
                  <w:i/>
                  <w:color w:val="000000" w:themeColor="text1"/>
                </w:rPr>
              </m:ctrlPr>
            </m:den>
          </m:f>
        </m:oMath>
      </m:oMathPara>
    </w:p>
    <w:p w14:paraId="4270F70F" w14:textId="77777777" w:rsidR="00FF66E7" w:rsidRDefault="00FF66E7" w:rsidP="00FF66E7">
      <w:pPr>
        <w:ind w:firstLine="708"/>
        <w:rPr>
          <w:rFonts w:eastAsiaTheme="minorEastAsia"/>
          <w:color w:val="000000" w:themeColor="text1"/>
        </w:rPr>
      </w:pPr>
    </w:p>
    <w:p w14:paraId="638B907C" w14:textId="76AD2938" w:rsidR="000A3627" w:rsidRDefault="000A3627" w:rsidP="00FF66E7">
      <w:pPr>
        <w:rPr>
          <w:color w:val="000000" w:themeColor="text1"/>
        </w:rPr>
      </w:pPr>
      <w:r w:rsidRPr="000A3627">
        <w:rPr>
          <w:color w:val="000000" w:themeColor="text1"/>
        </w:rPr>
        <w:t xml:space="preserve">com </w:t>
      </w:r>
      <m:oMath>
        <m:acc>
          <m:accPr>
            <m:chr m:val="̅"/>
            <m:ctrlPr>
              <w:rPr>
                <w:rFonts w:ascii="Cambria Math" w:hAnsi="Cambria Math"/>
                <w:color w:val="000000" w:themeColor="text1"/>
              </w:rPr>
            </m:ctrlPr>
          </m:accPr>
          <m:e>
            <m:r>
              <w:rPr>
                <w:rFonts w:ascii="Cambria Math" w:hAnsi="Cambria Math"/>
                <w:color w:val="000000" w:themeColor="text1"/>
              </w:rPr>
              <m:t>x</m:t>
            </m:r>
          </m:e>
        </m:acc>
      </m:oMath>
      <w:r>
        <w:rPr>
          <w:rFonts w:eastAsiaTheme="minorEastAsia"/>
          <w:color w:val="000000" w:themeColor="text1"/>
        </w:rPr>
        <w:t xml:space="preserve"> </w:t>
      </w:r>
      <w:r>
        <w:rPr>
          <w:color w:val="000000" w:themeColor="text1"/>
        </w:rPr>
        <w:t xml:space="preserve">e </w:t>
      </w:r>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x</m:t>
            </m:r>
          </m:sub>
        </m:sSub>
      </m:oMath>
      <w:r>
        <w:rPr>
          <w:rFonts w:eastAsiaTheme="minorEastAsia"/>
          <w:color w:val="000000" w:themeColor="text1"/>
        </w:rPr>
        <w:t xml:space="preserve"> </w:t>
      </w:r>
      <w:r w:rsidRPr="000A3627">
        <w:rPr>
          <w:color w:val="000000" w:themeColor="text1"/>
        </w:rPr>
        <w:t>estimados no conjunto 2018–2023.</w:t>
      </w:r>
    </w:p>
    <w:p w14:paraId="39415D75" w14:textId="04BDAFED" w:rsidR="001C1184" w:rsidRPr="00DC36E8" w:rsidRDefault="00DC36E8" w:rsidP="00DC36E8">
      <w:pPr>
        <w:ind w:firstLine="708"/>
        <w:rPr>
          <w:rFonts w:eastAsiaTheme="minorEastAsia"/>
          <w:color w:val="000000" w:themeColor="text1"/>
        </w:rPr>
      </w:pPr>
      <w:r w:rsidRPr="00DC36E8">
        <w:rPr>
          <w:color w:val="000000" w:themeColor="text1"/>
        </w:rPr>
        <w:t>Acerca de r</w:t>
      </w:r>
      <w:r w:rsidR="001C1184" w:rsidRPr="00DC36E8">
        <w:rPr>
          <w:color w:val="000000" w:themeColor="text1"/>
        </w:rPr>
        <w:t>egras de consistência</w:t>
      </w:r>
      <w:r w:rsidRPr="00DC36E8">
        <w:rPr>
          <w:color w:val="000000" w:themeColor="text1"/>
        </w:rPr>
        <w:t>, o</w:t>
      </w:r>
      <w:r w:rsidR="001C1184" w:rsidRPr="00DC36E8">
        <w:rPr>
          <w:color w:val="000000" w:themeColor="text1"/>
        </w:rPr>
        <w:t xml:space="preserve">s critérios de inclusão já impõem positividade a </w:t>
      </w:r>
      <m:oMath>
        <m:r>
          <w:rPr>
            <w:rFonts w:ascii="Cambria Math" w:hAnsi="Cambria Math"/>
            <w:color w:val="000000" w:themeColor="text1"/>
          </w:rPr>
          <m:t>Ii,t​,VAi,Ei,t ​e CAPEXi,t</m:t>
        </m:r>
      </m:oMath>
      <w:r w:rsidR="001C1184" w:rsidRPr="00DC36E8">
        <w:rPr>
          <w:rFonts w:eastAsiaTheme="minorEastAsia"/>
          <w:color w:val="000000" w:themeColor="text1"/>
        </w:rPr>
        <w:t xml:space="preserve">, </w:t>
      </w:r>
      <w:r w:rsidR="001C1184" w:rsidRPr="00DC36E8">
        <w:rPr>
          <w:rFonts w:eastAsiaTheme="minorEastAsia"/>
          <w:color w:val="000000" w:themeColor="text1"/>
        </w:rPr>
        <w:t>além de presença mínima temporal. Ocorrências com zeros/negativos ou inconsistências graves são excluídas do DEA naquele ano e registradas; podem permanecer em estatísticas descritivas quando pertinente. A conciliação SUFRAMA–RFB dos incentivos segue o princípio da maior granularidade por subsetor e documenta eventuais diferenças. O emprego por subsetor é construído a partir da RAIS por meio de tabela de correspondência CNAE → subsetor, preservada para reprodutibilidade.</w:t>
      </w:r>
    </w:p>
    <w:p w14:paraId="14BEB438" w14:textId="6E1068A7" w:rsidR="00DC36E8" w:rsidRDefault="001C1184" w:rsidP="00EB5466">
      <w:pPr>
        <w:ind w:firstLine="708"/>
        <w:rPr>
          <w:rFonts w:eastAsiaTheme="minorEastAsia"/>
          <w:color w:val="000000" w:themeColor="text1"/>
        </w:rPr>
      </w:pPr>
      <w:r w:rsidRPr="00DC36E8">
        <w:rPr>
          <w:rFonts w:eastAsiaTheme="minorEastAsia"/>
          <w:color w:val="000000" w:themeColor="text1"/>
        </w:rPr>
        <w:t>Com esse arranjo, a segmentação repousa em traços produtivos, a mensuração de eficiência compara unidades tecnologicamente semelhantes</w:t>
      </w:r>
      <w:r w:rsidRPr="001C1184">
        <w:rPr>
          <w:rFonts w:eastAsiaTheme="minorEastAsia"/>
          <w:color w:val="000000" w:themeColor="text1"/>
        </w:rPr>
        <w:t xml:space="preserve"> e a inferência sobre determinantes — em particular, a automação — preserva a lógica causal do estudo.</w:t>
      </w:r>
    </w:p>
    <w:p w14:paraId="04E42C64" w14:textId="77777777" w:rsidR="00D16D85" w:rsidRPr="00EB5466" w:rsidRDefault="00D16D85" w:rsidP="00EB5466">
      <w:pPr>
        <w:ind w:firstLine="708"/>
        <w:rPr>
          <w:color w:val="000000" w:themeColor="text1"/>
        </w:rPr>
      </w:pPr>
    </w:p>
    <w:p w14:paraId="0C78C7EC" w14:textId="6E4FE5A3" w:rsidR="001C1184" w:rsidRDefault="00974969" w:rsidP="001C1184">
      <w:pPr>
        <w:pStyle w:val="Ttulo2"/>
      </w:pPr>
      <w:bookmarkStart w:id="24" w:name="_Toc210058176"/>
      <w:r w:rsidRPr="00974969">
        <w:t xml:space="preserve">CLUSTERIZAÇÃO (K-MEANS): ESPECIFICAÇÃO, ESCOLHA DE </w:t>
      </w:r>
      <m:oMath>
        <m:r>
          <m:rPr>
            <m:scr m:val="script"/>
          </m:rPr>
          <w:rPr>
            <w:rFonts w:ascii="Cambria Math" w:hAnsi="Cambria Math"/>
          </w:rPr>
          <m:t>K</m:t>
        </m:r>
      </m:oMath>
      <w:r w:rsidRPr="00974969">
        <w:t xml:space="preserve"> E ESTABILIDADE</w:t>
      </w:r>
      <w:bookmarkEnd w:id="24"/>
      <w:r w:rsidR="001C1184">
        <w:t xml:space="preserve"> </w:t>
      </w:r>
    </w:p>
    <w:p w14:paraId="767D8444" w14:textId="77777777" w:rsidR="00C85AFA" w:rsidRPr="00C85AFA" w:rsidRDefault="00C85AFA" w:rsidP="00C85AFA"/>
    <w:p w14:paraId="003A136D" w14:textId="77777777" w:rsidR="00FF66E7" w:rsidRDefault="00974969" w:rsidP="00FF66E7">
      <w:pPr>
        <w:ind w:firstLine="708"/>
        <w:rPr>
          <w:rFonts w:eastAsiaTheme="minorEastAsia"/>
          <w:color w:val="000000" w:themeColor="text1"/>
        </w:rPr>
      </w:pPr>
      <w:r w:rsidRPr="00974969">
        <w:rPr>
          <w:color w:val="000000" w:themeColor="text1"/>
        </w:rPr>
        <w:t>A segmentação antecede a mensuração de eficiência para acomodar a heterogeneidade tecnológica e de escala entre subsetores. A clusterização é feita sobre o painel empilhado 2018–2023 (todas as observações</w:t>
      </w:r>
      <m:oMath>
        <m:r>
          <w:rPr>
            <w:rFonts w:ascii="Cambria Math" w:hAnsi="Cambria Math"/>
            <w:color w:val="000000" w:themeColor="text1"/>
          </w:rPr>
          <m:t xml:space="preserve"> </m:t>
        </m:r>
        <m:d>
          <m:dPr>
            <m:ctrlPr>
              <w:rPr>
                <w:rFonts w:ascii="Cambria Math" w:hAnsi="Cambria Math"/>
                <w:b/>
                <w:i/>
                <w:color w:val="000000" w:themeColor="text1"/>
              </w:rPr>
            </m:ctrlPr>
          </m:dPr>
          <m:e>
            <m:r>
              <w:rPr>
                <w:rFonts w:ascii="Cambria Math" w:hAnsi="Cambria Math"/>
                <w:color w:val="000000" w:themeColor="text1"/>
              </w:rPr>
              <m:t>i,t</m:t>
            </m:r>
            <m:ctrlPr>
              <w:rPr>
                <w:rFonts w:ascii="Cambria Math" w:hAnsi="Cambria Math"/>
                <w:i/>
                <w:color w:val="000000" w:themeColor="text1"/>
              </w:rPr>
            </m:ctrlPr>
          </m:e>
        </m:d>
      </m:oMath>
      <w:r>
        <w:rPr>
          <w:rFonts w:eastAsiaTheme="minorEastAsia"/>
          <w:color w:val="000000" w:themeColor="text1"/>
        </w:rPr>
        <w:t xml:space="preserve"> </w:t>
      </w:r>
      <w:r w:rsidRPr="00974969">
        <w:rPr>
          <w:rFonts w:eastAsiaTheme="minorEastAsia"/>
          <w:color w:val="000000" w:themeColor="text1"/>
        </w:rPr>
        <w:t xml:space="preserve">juntas), de modo a identificar tipos estruturais estáveis que valem para todo o horizonte. </w:t>
      </w:r>
    </w:p>
    <w:p w14:paraId="6F0B8DE7" w14:textId="38F3E8E3" w:rsidR="00AE187C" w:rsidRDefault="00974969" w:rsidP="00FF66E7">
      <w:pPr>
        <w:ind w:firstLine="708"/>
        <w:rPr>
          <w:rFonts w:eastAsiaTheme="minorEastAsia"/>
        </w:rPr>
      </w:pPr>
      <w:r w:rsidRPr="00974969">
        <w:rPr>
          <w:rFonts w:eastAsiaTheme="minorEastAsia"/>
          <w:color w:val="000000" w:themeColor="text1"/>
        </w:rPr>
        <w:t>As variáveis de entrada do K-</w:t>
      </w:r>
      <w:proofErr w:type="spellStart"/>
      <w:r w:rsidRPr="00974969">
        <w:t>means</w:t>
      </w:r>
      <w:proofErr w:type="spellEnd"/>
      <w:r w:rsidRPr="00974969">
        <w:t xml:space="preserve"> são exclusivamente estruturais — automação, exposição relativa ao incentivo e porte — todas padronizadas </w:t>
      </w:r>
      <w:proofErr w:type="spellStart"/>
      <w:r w:rsidRPr="00974969">
        <w:t>por</w:t>
      </w:r>
      <w:proofErr w:type="spellEnd"/>
      <w:r w:rsidRPr="00974969">
        <w:t xml:space="preserve"> </w:t>
      </w:r>
      <m:oMath>
        <m:r>
          <m:rPr>
            <m:sty m:val="bi"/>
          </m:rPr>
          <w:rPr>
            <w:rFonts w:ascii="Cambria Math" w:hAnsi="Cambria Math"/>
          </w:rPr>
          <m:t>z</m:t>
        </m:r>
      </m:oMath>
      <w:r w:rsidRPr="00974969">
        <w:t>-score</w:t>
      </w:r>
      <w:r w:rsidRPr="00974969">
        <w:t xml:space="preserve"> </w:t>
      </w:r>
      <w:r w:rsidRPr="00974969">
        <w:t xml:space="preserve">no painel </w:t>
      </w:r>
      <w:proofErr w:type="spellStart"/>
      <w:r w:rsidRPr="00974969">
        <w:t>pooled</w:t>
      </w:r>
      <w:proofErr w:type="spellEnd"/>
      <w:r w:rsidRPr="00974969">
        <w:t xml:space="preserve"> (conforme 4.3), evitando “vazamento” dos outputs do DEA para a etapa de </w:t>
      </w:r>
      <w:r w:rsidRPr="00974969">
        <w:lastRenderedPageBreak/>
        <w:t>segmentação. Denotando por</w:t>
      </w:r>
      <w:r w:rsidRPr="00974969">
        <w:t xml:space="preserve"> </w:t>
      </w:r>
      <m:oMath>
        <m:sSub>
          <m:sSubPr>
            <m:ctrlPr>
              <w:rPr>
                <w:rFonts w:ascii="Cambria Math" w:hAnsi="Cambria Math"/>
                <w:i/>
              </w:rPr>
            </m:ctrlPr>
          </m:sSubPr>
          <m:e>
            <m:r>
              <w:rPr>
                <w:rFonts w:ascii="Cambria Math" w:hAnsi="Cambria Math"/>
              </w:rPr>
              <m:t>z</m:t>
            </m:r>
          </m:e>
          <m:sub>
            <m:r>
              <w:rPr>
                <w:rFonts w:ascii="Cambria Math" w:hAnsi="Cambria Math"/>
              </w:rPr>
              <m:t>i,t</m:t>
            </m:r>
          </m:sub>
        </m:sSub>
      </m:oMath>
      <w:r>
        <w:rPr>
          <w:rFonts w:eastAsiaTheme="minorEastAsia"/>
        </w:rPr>
        <w:t xml:space="preserve"> </w:t>
      </w:r>
      <w:r w:rsidRPr="00974969">
        <w:rPr>
          <w:rFonts w:eastAsiaTheme="minorEastAsia"/>
        </w:rPr>
        <w:t>o vetor de atributos padronizados do subsetor</w:t>
      </w:r>
      <w:r>
        <w:rPr>
          <w:rFonts w:eastAsiaTheme="minorEastAsia"/>
        </w:rPr>
        <w:t xml:space="preserve"> </w:t>
      </w:r>
      <m:oMath>
        <m:r>
          <w:rPr>
            <w:rFonts w:ascii="Cambria Math" w:eastAsiaTheme="minorEastAsia" w:hAnsi="Cambria Math"/>
          </w:rPr>
          <m:t>i</m:t>
        </m:r>
      </m:oMath>
      <w:r>
        <w:rPr>
          <w:rFonts w:eastAsiaTheme="minorEastAsia"/>
        </w:rPr>
        <w:t xml:space="preserve"> no ano </w:t>
      </w:r>
      <m:oMath>
        <m:r>
          <w:rPr>
            <w:rFonts w:ascii="Cambria Math" w:eastAsiaTheme="minorEastAsia" w:hAnsi="Cambria Math"/>
          </w:rPr>
          <m:t>t</m:t>
        </m:r>
      </m:oMath>
      <w:r>
        <w:rPr>
          <w:rFonts w:eastAsiaTheme="minorEastAsia"/>
        </w:rPr>
        <w:t xml:space="preserve">, </w:t>
      </w:r>
      <w:r w:rsidRPr="00974969">
        <w:rPr>
          <w:rFonts w:eastAsiaTheme="minorEastAsia"/>
        </w:rPr>
        <w:t>tem-se:</w:t>
      </w:r>
    </w:p>
    <w:p w14:paraId="5687AC99" w14:textId="5AAC5273" w:rsidR="00AE187C" w:rsidRDefault="00AE187C" w:rsidP="00AE187C">
      <w:pPr>
        <w:pStyle w:val="Legenda"/>
        <w:keepNext/>
      </w:pPr>
      <w:r>
        <w:fldChar w:fldCharType="begin"/>
      </w:r>
      <w:r>
        <w:instrText xml:space="preserve"> SEQ Equação \* ARABIC </w:instrText>
      </w:r>
      <w:r>
        <w:fldChar w:fldCharType="separate"/>
      </w:r>
      <w:r w:rsidR="00F7526F">
        <w:rPr>
          <w:noProof/>
        </w:rPr>
        <w:t>9</w:t>
      </w:r>
      <w:r>
        <w:fldChar w:fldCharType="end"/>
      </w:r>
    </w:p>
    <w:p w14:paraId="7E86C839" w14:textId="552F7204" w:rsidR="00AE187C" w:rsidRPr="00AE187C" w:rsidRDefault="00C26EE7" w:rsidP="00AE187C">
      <w:pPr>
        <w:keepNext/>
        <w:ind w:firstLine="708"/>
        <w:rPr>
          <w:rFonts w:eastAsiaTheme="minorEastAsia"/>
        </w:rPr>
      </w:pPr>
      <m:oMathPara>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eastAsiaTheme="minorEastAsia" w:hAnsi="Cambria Math"/>
                </w:rPr>
                <m:t>i,t</m:t>
              </m:r>
            </m:sub>
          </m:sSub>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Z</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i,t</m:t>
                          </m:r>
                        </m:sub>
                      </m:sSub>
                      <m:r>
                        <w:rPr>
                          <w:rFonts w:ascii="Cambria Math" w:eastAsiaTheme="minorEastAsia" w:hAnsi="Cambria Math"/>
                        </w:rPr>
                        <m:t>​</m:t>
                      </m:r>
                    </m:e>
                  </m:d>
                  <m:r>
                    <w:rPr>
                      <w:rFonts w:ascii="Cambria Math" w:eastAsiaTheme="minorEastAsia" w:hAnsi="Cambria Math"/>
                    </w:rPr>
                    <m:t>,Z</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i,t</m:t>
                          </m:r>
                        </m:sub>
                        <m:sup>
                          <m:r>
                            <m:rPr>
                              <m:sty m:val="bi"/>
                            </m:rPr>
                            <w:rPr>
                              <w:rFonts w:ascii="Cambria Math" w:eastAsiaTheme="minorEastAsia" w:hAnsi="Cambria Math"/>
                            </w:rPr>
                            <m:t>I/VA</m:t>
                          </m:r>
                        </m:sup>
                      </m:sSubSup>
                      <m:r>
                        <w:rPr>
                          <w:rFonts w:ascii="Cambria Math" w:eastAsiaTheme="minorEastAsia" w:hAnsi="Cambria Math"/>
                        </w:rPr>
                        <m:t>​</m:t>
                      </m:r>
                    </m:e>
                  </m:d>
                  <m:r>
                    <w:rPr>
                      <w:rFonts w:ascii="Cambria Math" w:eastAsiaTheme="minorEastAsia" w:hAnsi="Cambria Math"/>
                    </w:rPr>
                    <m:t>,Z</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i,t</m:t>
                          </m:r>
                        </m:sub>
                        <m:sup>
                          <m:r>
                            <m:rPr>
                              <m:sty m:val="bi"/>
                            </m:rPr>
                            <w:rPr>
                              <w:rFonts w:ascii="Cambria Math" w:eastAsiaTheme="minorEastAsia" w:hAnsi="Cambria Math"/>
                            </w:rPr>
                            <m:t>I/E</m:t>
                          </m:r>
                        </m:sup>
                      </m:sSubSup>
                      <m:r>
                        <w:rPr>
                          <w:rFonts w:ascii="Cambria Math" w:eastAsiaTheme="minorEastAsia" w:hAnsi="Cambria Math"/>
                        </w:rPr>
                        <m:t>​</m:t>
                      </m:r>
                    </m:e>
                  </m:d>
                  <m:r>
                    <w:rPr>
                      <w:rFonts w:ascii="Cambria Math" w:eastAsiaTheme="minorEastAsia" w:hAnsi="Cambria Math"/>
                    </w:rPr>
                    <m:t>,Z</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i,t</m:t>
                          </m:r>
                        </m:sub>
                        <m:sup>
                          <m:r>
                            <m:rPr>
                              <m:scr m:val="script"/>
                            </m:rPr>
                            <w:rPr>
                              <w:rFonts w:ascii="Cambria Math" w:eastAsiaTheme="minorEastAsia" w:hAnsi="Cambria Math"/>
                            </w:rPr>
                            <m:t>K</m:t>
                          </m:r>
                        </m:sup>
                      </m:sSubSup>
                      <m:r>
                        <w:rPr>
                          <w:rFonts w:ascii="Cambria Math" w:eastAsiaTheme="minorEastAsia" w:hAnsi="Cambria Math"/>
                        </w:rPr>
                        <m:t>​</m:t>
                      </m:r>
                    </m:e>
                  </m:d>
                </m:e>
              </m:d>
            </m:e>
            <m:sup>
              <m:r>
                <w:rPr>
                  <w:rFonts w:ascii="Cambria Math" w:eastAsiaTheme="minorEastAsia" w:hAnsi="Cambria Math"/>
                </w:rPr>
                <m:t xml:space="preserve"> </m:t>
              </m:r>
              <m:r>
                <w:rPr>
                  <w:rFonts w:ascii="Cambria Math" w:eastAsiaTheme="minorEastAsia" w:hAnsi="Cambria Math"/>
                </w:rPr>
                <m:t>⊤</m:t>
              </m:r>
            </m:sup>
          </m:sSup>
        </m:oMath>
      </m:oMathPara>
    </w:p>
    <w:p w14:paraId="365D7CEA" w14:textId="77777777" w:rsidR="00AE187C" w:rsidRDefault="00AE187C" w:rsidP="00AE187C">
      <w:pPr>
        <w:keepNext/>
        <w:ind w:firstLine="708"/>
        <w:rPr>
          <w:rFonts w:eastAsiaTheme="minorEastAsia"/>
        </w:rPr>
      </w:pPr>
    </w:p>
    <w:p w14:paraId="50E1CD64" w14:textId="4F07F099" w:rsidR="00AE187C" w:rsidRDefault="00AE187C" w:rsidP="00AE187C">
      <w:pPr>
        <w:keepNext/>
        <w:ind w:firstLine="708"/>
        <w:rPr>
          <w:rFonts w:eastAsiaTheme="minorEastAsia"/>
          <w:color w:val="000000" w:themeColor="text1"/>
        </w:rPr>
      </w:pPr>
      <w:r w:rsidRPr="00AE187C">
        <w:rPr>
          <w:rFonts w:eastAsiaTheme="minorEastAsia"/>
        </w:rPr>
        <w:t>O K-</w:t>
      </w:r>
      <w:proofErr w:type="spellStart"/>
      <w:r w:rsidRPr="00AE187C">
        <w:rPr>
          <w:rFonts w:eastAsiaTheme="minorEastAsia"/>
        </w:rPr>
        <w:t>means</w:t>
      </w:r>
      <w:proofErr w:type="spellEnd"/>
      <w:r w:rsidRPr="00AE187C">
        <w:rPr>
          <w:rFonts w:eastAsiaTheme="minorEastAsia"/>
        </w:rPr>
        <w:t xml:space="preserve"> particiona as</w:t>
      </w:r>
      <w:r>
        <w:rPr>
          <w:rFonts w:eastAsiaTheme="minorEastAsia"/>
        </w:rPr>
        <w:t xml:space="preserve"> </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i,t</m:t>
            </m:r>
          </m:sub>
        </m:sSub>
      </m:oMath>
      <w:r>
        <w:rPr>
          <w:rFonts w:eastAsiaTheme="minorEastAsia"/>
          <w:color w:val="000000" w:themeColor="text1"/>
        </w:rPr>
        <w:t xml:space="preserve"> em </w:t>
      </w:r>
      <m:oMath>
        <m:r>
          <m:rPr>
            <m:scr m:val="script"/>
          </m:rPr>
          <w:rPr>
            <w:rFonts w:ascii="Cambria Math" w:eastAsiaTheme="minorEastAsia" w:hAnsi="Cambria Math"/>
            <w:color w:val="000000" w:themeColor="text1"/>
          </w:rPr>
          <m:t xml:space="preserve">K </m:t>
        </m:r>
      </m:oMath>
      <w:r>
        <w:rPr>
          <w:rFonts w:eastAsiaTheme="minorEastAsia"/>
          <w:color w:val="000000" w:themeColor="text1"/>
        </w:rPr>
        <w:t xml:space="preserve">grupos </w:t>
      </w:r>
      <m:oMath>
        <m:r>
          <w:rPr>
            <w:rFonts w:ascii="Cambria Math" w:eastAsiaTheme="minorEastAsia" w:hAnsi="Cambria Math"/>
            <w:color w:val="000000" w:themeColor="text1"/>
          </w:rPr>
          <m:t>C1​,…,CK</m:t>
        </m:r>
        <m:r>
          <w:rPr>
            <w:rFonts w:ascii="Cambria Math" w:eastAsiaTheme="minorEastAsia" w:hAnsi="Cambria Math"/>
            <w:color w:val="000000" w:themeColor="text1"/>
          </w:rPr>
          <m:t xml:space="preserve"> </m:t>
        </m:r>
      </m:oMath>
      <w:r w:rsidRPr="00AE187C">
        <w:rPr>
          <w:rFonts w:eastAsiaTheme="minorEastAsia"/>
          <w:color w:val="000000" w:themeColor="text1"/>
        </w:rPr>
        <w:t xml:space="preserve">minimizando a soma das distâncias </w:t>
      </w:r>
      <w:proofErr w:type="spellStart"/>
      <w:r w:rsidRPr="00AE187C">
        <w:rPr>
          <w:rFonts w:eastAsiaTheme="minorEastAsia"/>
          <w:color w:val="000000" w:themeColor="text1"/>
        </w:rPr>
        <w:t>intra-cluster</w:t>
      </w:r>
      <w:proofErr w:type="spellEnd"/>
      <w:r w:rsidRPr="00AE187C">
        <w:rPr>
          <w:rFonts w:eastAsiaTheme="minorEastAsia"/>
          <w:color w:val="000000" w:themeColor="text1"/>
        </w:rPr>
        <w:t xml:space="preserve"> ao </w:t>
      </w:r>
      <w:proofErr w:type="spellStart"/>
      <w:r w:rsidRPr="00AE187C">
        <w:rPr>
          <w:rFonts w:eastAsiaTheme="minorEastAsia"/>
          <w:color w:val="000000" w:themeColor="text1"/>
        </w:rPr>
        <w:t>centróide</w:t>
      </w:r>
      <w:proofErr w:type="spellEnd"/>
      <w:r w:rsidRPr="00AE187C">
        <w:rPr>
          <w:rFonts w:eastAsiaTheme="minorEastAsia"/>
          <w:color w:val="000000" w:themeColor="text1"/>
        </w:rPr>
        <w:t xml:space="preserve"> </w:t>
      </w:r>
      <m:oMath>
        <m:sSub>
          <m:sSubPr>
            <m:ctrlPr>
              <w:rPr>
                <w:rFonts w:ascii="Cambria Math" w:hAnsi="Cambria Math"/>
                <w:i/>
                <w:color w:val="000000" w:themeColor="text1"/>
              </w:rPr>
            </m:ctrlPr>
          </m:sSubPr>
          <m:e>
            <m:r>
              <w:rPr>
                <w:rFonts w:ascii="Cambria Math" w:eastAsiaTheme="minorEastAsia" w:hAnsi="Cambria Math"/>
                <w:color w:val="000000" w:themeColor="text1"/>
              </w:rPr>
              <m:t>μ</m:t>
            </m:r>
          </m:e>
          <m:sub>
            <m:r>
              <w:rPr>
                <w:rFonts w:ascii="Cambria Math" w:hAnsi="Cambria Math"/>
                <w:color w:val="000000" w:themeColor="text1"/>
              </w:rPr>
              <m:t>k</m:t>
            </m:r>
          </m:sub>
        </m:sSub>
      </m:oMath>
      <w:r>
        <w:rPr>
          <w:rFonts w:eastAsiaTheme="minorEastAsia"/>
          <w:color w:val="000000" w:themeColor="text1"/>
        </w:rPr>
        <w:t xml:space="preserve"> </w:t>
      </w:r>
      <w:r w:rsidRPr="00AE187C">
        <w:rPr>
          <w:rFonts w:eastAsiaTheme="minorEastAsia"/>
          <w:color w:val="000000" w:themeColor="text1"/>
        </w:rPr>
        <w:t>(média das observações do grupo), sob métrica euclidiana:</w:t>
      </w:r>
    </w:p>
    <w:p w14:paraId="1EEC777B" w14:textId="7D5D5DF6" w:rsidR="00AE187C" w:rsidRDefault="00AE187C" w:rsidP="00AE187C">
      <w:pPr>
        <w:pStyle w:val="Legenda"/>
        <w:keepNext/>
      </w:pPr>
      <w:r>
        <w:fldChar w:fldCharType="begin"/>
      </w:r>
      <w:r>
        <w:instrText xml:space="preserve"> SEQ Equação \* ARABIC </w:instrText>
      </w:r>
      <w:r>
        <w:fldChar w:fldCharType="separate"/>
      </w:r>
      <w:r w:rsidR="00F7526F">
        <w:rPr>
          <w:noProof/>
        </w:rPr>
        <w:t>10</w:t>
      </w:r>
      <w:r>
        <w:fldChar w:fldCharType="end"/>
      </w:r>
    </w:p>
    <w:p w14:paraId="2A7F484C" w14:textId="77777777" w:rsidR="00C26EE7" w:rsidRPr="00AE187C" w:rsidRDefault="00AE187C" w:rsidP="00C26EE7">
      <w:pPr>
        <w:keepNext/>
        <w:ind w:firstLine="708"/>
        <w:rPr>
          <w:rFonts w:eastAsiaTheme="minorEastAsia"/>
          <w:i/>
        </w:rPr>
      </w:pPr>
      <m:oMathPara>
        <m:oMath>
          <m:r>
            <w:rPr>
              <w:rFonts w:ascii="Cambria Math" w:eastAsiaTheme="minorEastAsia" w:hAnsi="Cambria Math"/>
            </w:rPr>
            <m:t>J</m:t>
          </m:r>
          <m:d>
            <m:dPr>
              <m:ctrlPr>
                <w:rPr>
                  <w:rFonts w:ascii="Cambria Math" w:eastAsiaTheme="minorEastAsia" w:hAnsi="Cambria Math"/>
                  <w:i/>
                </w:rPr>
              </m:ctrlPr>
            </m:dPr>
            <m:e>
              <m:r>
                <m:rPr>
                  <m:scr m:val="script"/>
                </m:rPr>
                <w:rPr>
                  <w:rFonts w:ascii="Cambria Math" w:eastAsiaTheme="minorEastAsia" w:hAnsi="Cambria Math"/>
                </w:rPr>
                <m:t>K</m:t>
              </m:r>
            </m:e>
          </m:d>
          <m:r>
            <w:rPr>
              <w:rFonts w:ascii="Cambria Math" w:eastAsiaTheme="minorEastAsia" w:hAnsi="Cambria Math"/>
            </w:rPr>
            <m:t>=</m:t>
          </m:r>
          <m:nary>
            <m:naryPr>
              <m:chr m:val="∑"/>
              <m:limLoc m:val="undOvr"/>
              <m:ctrlPr>
                <w:rPr>
                  <w:rFonts w:ascii="Cambria Math" w:hAnsi="Cambria Math"/>
                  <w:color w:val="000000" w:themeColor="text1"/>
                </w:rPr>
              </m:ctrlPr>
            </m:naryPr>
            <m:sub>
              <m:r>
                <w:rPr>
                  <w:rFonts w:ascii="Cambria Math" w:eastAsiaTheme="minorEastAsia" w:hAnsi="Cambria Math"/>
                </w:rPr>
                <m:t>k</m:t>
              </m:r>
              <m:r>
                <w:rPr>
                  <w:rFonts w:ascii="Cambria Math" w:hAnsi="Cambria Math"/>
                  <w:color w:val="000000" w:themeColor="text1"/>
                </w:rPr>
                <m:t>=1</m:t>
              </m:r>
            </m:sub>
            <m:sup>
              <m:r>
                <m:rPr>
                  <m:scr m:val="script"/>
                </m:rPr>
                <w:rPr>
                  <w:rFonts w:ascii="Cambria Math" w:eastAsiaTheme="minorEastAsia" w:hAnsi="Cambria Math"/>
                </w:rPr>
                <m:t>K</m:t>
              </m:r>
            </m:sup>
            <m:e>
              <m:nary>
                <m:naryPr>
                  <m:chr m:val="∑"/>
                  <m:limLoc m:val="undOvr"/>
                  <m:supHide m:val="1"/>
                  <m:ctrlPr>
                    <w:rPr>
                      <w:rFonts w:ascii="Cambria Math" w:hAnsi="Cambria Math"/>
                      <w:i/>
                      <w:color w:val="000000" w:themeColor="text1"/>
                    </w:rPr>
                  </m:ctrlPr>
                </m:naryPr>
                <m:sub>
                  <m:d>
                    <m:dPr>
                      <m:ctrlPr>
                        <w:rPr>
                          <w:rFonts w:ascii="Cambria Math" w:eastAsiaTheme="minorEastAsia" w:hAnsi="Cambria Math"/>
                          <w:i/>
                        </w:rPr>
                      </m:ctrlPr>
                    </m:dPr>
                    <m:e>
                      <m:r>
                        <w:rPr>
                          <w:rFonts w:ascii="Cambria Math" w:eastAsiaTheme="minorEastAsia" w:hAnsi="Cambria Math"/>
                        </w:rPr>
                        <m:t>i,t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sub>
                <m:sup/>
                <m:e>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eastAsiaTheme="minorEastAsia" w:hAnsi="Cambria Math"/>
                                </w:rPr>
                                <m:t>i,t</m:t>
                              </m:r>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sub>
                          </m:sSub>
                        </m:e>
                      </m:d>
                    </m:e>
                    <m:sup>
                      <m:r>
                        <w:rPr>
                          <w:rFonts w:ascii="Cambria Math" w:hAnsi="Cambria Math"/>
                          <w:color w:val="000000" w:themeColor="text1"/>
                        </w:rPr>
                        <m:t>2</m:t>
                      </m:r>
                    </m:sup>
                  </m:sSup>
                </m:e>
              </m:nary>
            </m:e>
          </m:nary>
        </m:oMath>
      </m:oMathPara>
    </w:p>
    <w:p w14:paraId="08CF4587" w14:textId="6EF37BB8" w:rsidR="00AE187C" w:rsidRPr="00C26EE7" w:rsidRDefault="00C26EE7" w:rsidP="00C26EE7">
      <w:pPr>
        <w:keepNext/>
        <w:ind w:firstLine="708"/>
        <w:rPr>
          <w:rFonts w:eastAsiaTheme="minorEastAsia"/>
          <w:i/>
        </w:rPr>
      </w:pPr>
      <m:oMathPara>
        <m:oMath>
          <m:r>
            <w:rPr>
              <w:rFonts w:ascii="Cambria Math" w:eastAsiaTheme="minorEastAsia" w:hAnsi="Cambria Math"/>
            </w:rPr>
            <m:t xml:space="preserve"> </m:t>
          </m:r>
        </m:oMath>
      </m:oMathPara>
    </w:p>
    <w:p w14:paraId="1DD6A138" w14:textId="4DF3AB26" w:rsidR="00C85AFA" w:rsidRPr="005B3C3B" w:rsidRDefault="00AE187C" w:rsidP="00C85AFA">
      <w:pPr>
        <w:ind w:firstLine="708"/>
        <w:rPr>
          <w:rFonts w:eastAsiaTheme="minorEastAsia"/>
        </w:rPr>
      </w:pPr>
      <w:r w:rsidRPr="005B3C3B">
        <w:t>A inicialização utiliza k-</w:t>
      </w:r>
      <w:proofErr w:type="spellStart"/>
      <w:r w:rsidRPr="005B3C3B">
        <w:t>means</w:t>
      </w:r>
      <w:proofErr w:type="spellEnd"/>
      <w:r w:rsidRPr="005B3C3B">
        <w:t xml:space="preserve">++ e o algoritmo é executado com múltiplas sementes, retendo a solução de menor </w:t>
      </w:r>
      <m:oMath>
        <m:r>
          <w:rPr>
            <w:rFonts w:ascii="Cambria Math" w:hAnsi="Cambria Math"/>
          </w:rPr>
          <m:t>J</m:t>
        </m:r>
        <m:d>
          <m:dPr>
            <m:ctrlPr>
              <w:rPr>
                <w:rFonts w:ascii="Cambria Math" w:hAnsi="Cambria Math"/>
                <w:i/>
              </w:rPr>
            </m:ctrlPr>
          </m:dPr>
          <m:e>
            <m:r>
              <m:rPr>
                <m:scr m:val="script"/>
              </m:rPr>
              <w:rPr>
                <w:rFonts w:ascii="Cambria Math" w:eastAsiaTheme="minorEastAsia" w:hAnsi="Cambria Math"/>
              </w:rPr>
              <m:t>K</m:t>
            </m:r>
          </m:e>
        </m:d>
      </m:oMath>
      <w:r w:rsidRPr="005B3C3B">
        <w:rPr>
          <w:rFonts w:eastAsiaTheme="minorEastAsia"/>
        </w:rPr>
        <w:t xml:space="preserve"> e </w:t>
      </w:r>
      <w:r w:rsidRPr="005B3C3B">
        <w:rPr>
          <w:rFonts w:eastAsiaTheme="minorEastAsia"/>
        </w:rPr>
        <w:t>registrando a variabilidade entre execuções como medida de estabilidade. A decisão sobre o número de grupos segue um conjunto de critérios complementares:</w:t>
      </w:r>
    </w:p>
    <w:p w14:paraId="002C9568" w14:textId="06127939" w:rsidR="00AE187C" w:rsidRPr="00AE187C" w:rsidRDefault="00AE187C" w:rsidP="00AE187C">
      <w:pPr>
        <w:ind w:firstLine="708"/>
        <w:rPr>
          <w:rFonts w:eastAsiaTheme="minorEastAsia"/>
        </w:rPr>
      </w:pPr>
      <w:r w:rsidRPr="00AE187C">
        <w:rPr>
          <w:rFonts w:eastAsiaTheme="minorEastAsia"/>
        </w:rPr>
        <w:t xml:space="preserve">(i) Curva do cotovelo (WSS). Observa-se a queda de </w:t>
      </w:r>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 xml:space="preserve"> </m:t>
        </m:r>
      </m:oMath>
      <w:r w:rsidRPr="00AE187C">
        <w:rPr>
          <w:rFonts w:eastAsiaTheme="minorEastAsia"/>
        </w:rPr>
        <w:t xml:space="preserve">quando </w:t>
      </w:r>
      <m:oMath>
        <m:r>
          <m:rPr>
            <m:scr m:val="script"/>
          </m:rPr>
          <w:rPr>
            <w:rFonts w:ascii="Cambria Math" w:eastAsiaTheme="minorEastAsia" w:hAnsi="Cambria Math"/>
          </w:rPr>
          <m:t>K</m:t>
        </m:r>
      </m:oMath>
      <w:r w:rsidRPr="005B3C3B">
        <w:rPr>
          <w:rFonts w:eastAsiaTheme="minorEastAsia"/>
        </w:rPr>
        <w:t xml:space="preserve"> </w:t>
      </w:r>
      <w:r w:rsidRPr="00AE187C">
        <w:rPr>
          <w:rFonts w:eastAsiaTheme="minorEastAsia"/>
        </w:rPr>
        <w:t xml:space="preserve">cresce; o ponto de retorno marginal decrescente (“cotovelo”) sinaliza um </w:t>
      </w:r>
      <m:oMath>
        <m:r>
          <m:rPr>
            <m:scr m:val="script"/>
          </m:rPr>
          <w:rPr>
            <w:rFonts w:ascii="Cambria Math" w:eastAsiaTheme="minorEastAsia" w:hAnsi="Cambria Math"/>
          </w:rPr>
          <m:t>K</m:t>
        </m:r>
      </m:oMath>
      <w:r w:rsidRPr="005B3C3B">
        <w:rPr>
          <w:rFonts w:eastAsiaTheme="minorEastAsia"/>
        </w:rPr>
        <w:t xml:space="preserve"> </w:t>
      </w:r>
      <w:r w:rsidRPr="00AE187C">
        <w:rPr>
          <w:rFonts w:eastAsiaTheme="minorEastAsia"/>
        </w:rPr>
        <w:t>parcimonioso que ainda captura a estrutura dominante.</w:t>
      </w:r>
    </w:p>
    <w:p w14:paraId="1AD42926" w14:textId="0E7C41CE" w:rsidR="00AE187C" w:rsidRPr="005B3C3B" w:rsidRDefault="00AE187C" w:rsidP="00FF66E7">
      <w:pPr>
        <w:ind w:firstLine="708"/>
        <w:rPr>
          <w:rFonts w:eastAsiaTheme="minorEastAsia"/>
        </w:rPr>
      </w:pPr>
      <w:r w:rsidRPr="00AE187C">
        <w:rPr>
          <w:rFonts w:eastAsiaTheme="minorEastAsia"/>
        </w:rPr>
        <w:t>(</w:t>
      </w:r>
      <w:proofErr w:type="spellStart"/>
      <w:r w:rsidRPr="00AE187C">
        <w:rPr>
          <w:rFonts w:eastAsiaTheme="minorEastAsia"/>
        </w:rPr>
        <w:t>ii</w:t>
      </w:r>
      <w:proofErr w:type="spellEnd"/>
      <w:r w:rsidRPr="00AE187C">
        <w:rPr>
          <w:rFonts w:eastAsiaTheme="minorEastAsia"/>
        </w:rPr>
        <w:t xml:space="preserve">) </w:t>
      </w:r>
      <w:proofErr w:type="spellStart"/>
      <w:r w:rsidRPr="00AE187C">
        <w:rPr>
          <w:rFonts w:eastAsiaTheme="minorEastAsia"/>
        </w:rPr>
        <w:t>Silhouette</w:t>
      </w:r>
      <w:proofErr w:type="spellEnd"/>
      <w:r w:rsidRPr="00AE187C">
        <w:rPr>
          <w:rFonts w:eastAsiaTheme="minorEastAsia"/>
        </w:rPr>
        <w:t xml:space="preserve"> médio. Para cada observação</w:t>
      </w:r>
      <w:r w:rsidRPr="005B3C3B">
        <w:rPr>
          <w:rFonts w:eastAsiaTheme="minorEastAsia"/>
        </w:rPr>
        <w:t xml:space="preserve"> </w:t>
      </w:r>
      <m:oMath>
        <m:r>
          <w:rPr>
            <w:rFonts w:ascii="Cambria Math" w:eastAsiaTheme="minorEastAsia" w:hAnsi="Cambria Math"/>
          </w:rPr>
          <m:t>q</m:t>
        </m:r>
      </m:oMath>
      <w:r w:rsidRPr="00AE187C">
        <w:rPr>
          <w:rFonts w:eastAsiaTheme="minorEastAsia"/>
        </w:rPr>
        <w:t>, calcula-se a coesão média ao seu cluster,</w:t>
      </w:r>
      <w:r w:rsidR="005B3C3B" w:rsidRPr="005B3C3B">
        <w:rPr>
          <w:rFonts w:eastAsiaTheme="minorEastAsia"/>
        </w:rPr>
        <w:t xml:space="preserve">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q</m:t>
            </m:r>
          </m:e>
        </m:d>
      </m:oMath>
      <w:r w:rsidRPr="00AE187C">
        <w:rPr>
          <w:rFonts w:eastAsiaTheme="minorEastAsia"/>
        </w:rPr>
        <w:t>, e a menor dissimilaridade média a um cluster alternativo,</w:t>
      </w:r>
      <w:r w:rsidR="005B3C3B" w:rsidRPr="005B3C3B">
        <w:rPr>
          <w:rFonts w:eastAsiaTheme="minorEastAsia"/>
        </w:rPr>
        <w:t xml:space="preserve"> </w:t>
      </w: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q</m:t>
            </m:r>
          </m:e>
        </m:d>
      </m:oMath>
      <w:r w:rsidRPr="00AE187C">
        <w:rPr>
          <w:rFonts w:eastAsiaTheme="minorEastAsia"/>
        </w:rPr>
        <w:t xml:space="preserve">. O índice de </w:t>
      </w:r>
      <w:proofErr w:type="spellStart"/>
      <w:r w:rsidRPr="00AE187C">
        <w:rPr>
          <w:rFonts w:eastAsiaTheme="minorEastAsia"/>
          <w:i/>
          <w:iCs/>
        </w:rPr>
        <w:t>silhouette</w:t>
      </w:r>
      <w:proofErr w:type="spellEnd"/>
      <w:r w:rsidRPr="00AE187C">
        <w:rPr>
          <w:rFonts w:eastAsiaTheme="minorEastAsia"/>
        </w:rPr>
        <w:t xml:space="preserve"> é:</w:t>
      </w:r>
    </w:p>
    <w:p w14:paraId="7EAA4421" w14:textId="27095493" w:rsidR="005B3C3B" w:rsidRPr="005B3C3B" w:rsidRDefault="005B3C3B" w:rsidP="005B3C3B">
      <w:pPr>
        <w:pStyle w:val="Legenda"/>
        <w:keepNext/>
      </w:pPr>
      <w:r w:rsidRPr="005B3C3B">
        <w:fldChar w:fldCharType="begin"/>
      </w:r>
      <w:r w:rsidRPr="005B3C3B">
        <w:instrText xml:space="preserve"> SEQ Equação \* ARABIC </w:instrText>
      </w:r>
      <w:r w:rsidRPr="005B3C3B">
        <w:fldChar w:fldCharType="separate"/>
      </w:r>
      <w:r w:rsidR="00F7526F">
        <w:rPr>
          <w:noProof/>
        </w:rPr>
        <w:t>11</w:t>
      </w:r>
      <w:r w:rsidRPr="005B3C3B">
        <w:fldChar w:fldCharType="end"/>
      </w:r>
    </w:p>
    <w:p w14:paraId="041F7285" w14:textId="068BC489" w:rsidR="00C910AA" w:rsidRPr="00EB5466" w:rsidRDefault="005B3C3B" w:rsidP="00DC36E8">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m:t>
              </m:r>
            </m:num>
            <m:den>
              <m:r>
                <w:rPr>
                  <w:rFonts w:ascii="Cambria Math" w:eastAsiaTheme="minorEastAsia" w:hAnsi="Cambria Math"/>
                </w:rPr>
                <m:t>max{a</m:t>
              </m:r>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m:t>
              </m:r>
            </m:den>
          </m:f>
        </m:oMath>
      </m:oMathPara>
    </w:p>
    <w:p w14:paraId="72C367EC" w14:textId="77777777" w:rsidR="00EB5466" w:rsidRPr="00DC36E8" w:rsidRDefault="00EB5466" w:rsidP="00DC36E8">
      <w:pPr>
        <w:rPr>
          <w:rFonts w:eastAsiaTheme="minorEastAsia"/>
        </w:rPr>
      </w:pPr>
    </w:p>
    <w:p w14:paraId="142C997A" w14:textId="4D76ABDD" w:rsidR="00C85AFA" w:rsidRPr="00EB5466" w:rsidRDefault="005B3C3B" w:rsidP="005B3C3B">
      <w:pPr>
        <w:rPr>
          <w:rFonts w:ascii="Cambria Math" w:hAnsi="Cambria Math"/>
          <w:i/>
          <w:color w:val="000000" w:themeColor="text1"/>
        </w:rPr>
      </w:pPr>
      <w:r w:rsidRPr="00856929">
        <w:rPr>
          <w:color w:val="000000" w:themeColor="text1"/>
        </w:rPr>
        <w:t xml:space="preserve">e o </w:t>
      </w:r>
      <w:proofErr w:type="spellStart"/>
      <w:r w:rsidRPr="00856929">
        <w:rPr>
          <w:color w:val="000000" w:themeColor="text1"/>
        </w:rPr>
        <w:t>silhouette</w:t>
      </w:r>
      <w:proofErr w:type="spellEnd"/>
      <w:r w:rsidRPr="00856929">
        <w:rPr>
          <w:color w:val="000000" w:themeColor="text1"/>
        </w:rPr>
        <w:t xml:space="preserve"> médio em cada </w:t>
      </w:r>
      <m:oMath>
        <m:r>
          <m:rPr>
            <m:scr m:val="script"/>
          </m:rPr>
          <w:rPr>
            <w:rFonts w:ascii="Cambria Math" w:eastAsiaTheme="minorEastAsia" w:hAnsi="Cambria Math"/>
          </w:rPr>
          <m:t>K</m:t>
        </m:r>
      </m:oMath>
      <w:r w:rsidRPr="00856929">
        <w:rPr>
          <w:color w:val="000000" w:themeColor="text1"/>
        </w:rPr>
        <w:t xml:space="preserve"> </w:t>
      </w:r>
      <w:r w:rsidR="00DC36E8">
        <w:rPr>
          <w:color w:val="000000" w:themeColor="text1"/>
        </w:rPr>
        <w:t>traz o equilíbrio de</w:t>
      </w:r>
      <w:r w:rsidRPr="00856929">
        <w:rPr>
          <w:color w:val="000000" w:themeColor="text1"/>
        </w:rPr>
        <w:t xml:space="preserve"> coesão interna e separação externa.</w:t>
      </w:r>
      <w:r w:rsidR="00856929" w:rsidRPr="00856929">
        <w:rPr>
          <w:rFonts w:ascii="Cambria Math" w:hAnsi="Cambria Math"/>
          <w:i/>
          <w:color w:val="000000" w:themeColor="text1"/>
        </w:rPr>
        <w:t xml:space="preserve"> </w:t>
      </w:r>
    </w:p>
    <w:p w14:paraId="43521DA2" w14:textId="4FF52605" w:rsidR="00856929" w:rsidRDefault="005B3C3B" w:rsidP="00FF66E7">
      <w:pPr>
        <w:ind w:firstLine="708"/>
        <w:rPr>
          <w:color w:val="000000" w:themeColor="text1"/>
        </w:rPr>
      </w:pPr>
      <w:r w:rsidRPr="00856929">
        <w:rPr>
          <w:color w:val="000000" w:themeColor="text1"/>
        </w:rPr>
        <w:t>(</w:t>
      </w:r>
      <w:proofErr w:type="spellStart"/>
      <w:r w:rsidRPr="00856929">
        <w:rPr>
          <w:color w:val="000000" w:themeColor="text1"/>
        </w:rPr>
        <w:t>iii</w:t>
      </w:r>
      <w:proofErr w:type="spellEnd"/>
      <w:r w:rsidRPr="00856929">
        <w:rPr>
          <w:color w:val="000000" w:themeColor="text1"/>
        </w:rPr>
        <w:t xml:space="preserve">) </w:t>
      </w:r>
      <w:r w:rsidRPr="00856929">
        <w:rPr>
          <w:i/>
          <w:iCs/>
          <w:color w:val="000000" w:themeColor="text1"/>
        </w:rPr>
        <w:t xml:space="preserve">Gap </w:t>
      </w:r>
      <w:proofErr w:type="spellStart"/>
      <w:r w:rsidRPr="00856929">
        <w:rPr>
          <w:i/>
          <w:iCs/>
          <w:color w:val="000000" w:themeColor="text1"/>
        </w:rPr>
        <w:t>statistic</w:t>
      </w:r>
      <w:proofErr w:type="spellEnd"/>
      <w:r w:rsidRPr="00856929">
        <w:rPr>
          <w:color w:val="000000" w:themeColor="text1"/>
        </w:rPr>
        <w:t>. Compara-se a dispersão observada aos valores esperados sob uma referência nula (distribuição aleatória sem estrutura). Seja</w:t>
      </w:r>
      <w:r w:rsidR="00856929" w:rsidRPr="00856929">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m:rPr>
                <m:scr m:val="script"/>
              </m:rPr>
              <w:rPr>
                <w:rFonts w:ascii="Cambria Math" w:eastAsiaTheme="minorEastAsia" w:hAnsi="Cambria Math"/>
              </w:rPr>
              <m:t>K</m:t>
            </m:r>
          </m:sub>
        </m:sSub>
      </m:oMath>
      <w:r w:rsidR="00856929" w:rsidRPr="00856929">
        <w:rPr>
          <w:rFonts w:eastAsiaTheme="minorEastAsia"/>
          <w:color w:val="000000" w:themeColor="text1"/>
        </w:rPr>
        <w:t xml:space="preserve"> </w:t>
      </w:r>
      <w:r w:rsidR="00856929" w:rsidRPr="00856929">
        <w:rPr>
          <w:rFonts w:eastAsiaTheme="minorEastAsia"/>
          <w:color w:val="000000" w:themeColor="text1"/>
        </w:rPr>
        <w:t xml:space="preserve">a dispersão </w:t>
      </w:r>
      <w:proofErr w:type="spellStart"/>
      <w:r w:rsidR="00856929" w:rsidRPr="00856929">
        <w:rPr>
          <w:rFonts w:eastAsiaTheme="minorEastAsia"/>
          <w:color w:val="000000" w:themeColor="text1"/>
        </w:rPr>
        <w:t>intra-cluster</w:t>
      </w:r>
      <w:proofErr w:type="spellEnd"/>
      <w:r w:rsidR="00856929" w:rsidRPr="00856929">
        <w:rPr>
          <w:color w:val="000000" w:themeColor="text1"/>
        </w:rPr>
        <w:t xml:space="preserve"> (análoga a </w:t>
      </w:r>
      <m:oMath>
        <m:r>
          <w:rPr>
            <w:rFonts w:ascii="Cambria Math" w:hAnsi="Cambria Math"/>
            <w:color w:val="000000" w:themeColor="text1"/>
          </w:rPr>
          <m:t>J</m:t>
        </m:r>
        <m:d>
          <m:dPr>
            <m:ctrlPr>
              <w:rPr>
                <w:rFonts w:ascii="Cambria Math" w:hAnsi="Cambria Math"/>
                <w:i/>
                <w:color w:val="000000" w:themeColor="text1"/>
              </w:rPr>
            </m:ctrlPr>
          </m:dPr>
          <m:e>
            <m:r>
              <m:rPr>
                <m:scr m:val="script"/>
              </m:rPr>
              <w:rPr>
                <w:rFonts w:ascii="Cambria Math" w:eastAsiaTheme="minorEastAsia" w:hAnsi="Cambria Math"/>
              </w:rPr>
              <m:t>K</m:t>
            </m:r>
          </m:e>
        </m:d>
      </m:oMath>
      <w:r w:rsidR="00856929" w:rsidRPr="00856929">
        <w:rPr>
          <w:rFonts w:eastAsiaTheme="minorEastAsia"/>
          <w:color w:val="000000" w:themeColor="text1"/>
        </w:rPr>
        <w:t>)</w:t>
      </w:r>
      <w:r w:rsidR="00856929" w:rsidRPr="00856929">
        <w:rPr>
          <w:color w:val="000000" w:themeColor="text1"/>
        </w:rPr>
        <w:t xml:space="preserve"> e</w:t>
      </w:r>
      <w:r w:rsidR="00856929">
        <w:rPr>
          <w:color w:val="000000" w:themeColor="text1"/>
        </w:rPr>
        <w:t xml:space="preserve"> </w:t>
      </w:r>
      <m:oMath>
        <m:sSubSup>
          <m:sSubSupPr>
            <m:ctrlPr>
              <w:rPr>
                <w:rFonts w:ascii="Cambria Math" w:hAnsi="Cambria Math"/>
                <w:i/>
                <w:color w:val="000000" w:themeColor="text1"/>
              </w:rPr>
            </m:ctrlPr>
          </m:sSubSupPr>
          <m:e>
            <m:r>
              <w:rPr>
                <w:rFonts w:ascii="Cambria Math" w:hAnsi="Cambria Math"/>
                <w:color w:val="000000" w:themeColor="text1"/>
              </w:rPr>
              <m:t>W</m:t>
            </m:r>
          </m:e>
          <m:sub>
            <m:r>
              <m:rPr>
                <m:scr m:val="script"/>
              </m:rPr>
              <w:rPr>
                <w:rFonts w:ascii="Cambria Math" w:eastAsiaTheme="minorEastAsia" w:hAnsi="Cambria Math"/>
              </w:rPr>
              <m:t>K</m:t>
            </m:r>
          </m:sub>
          <m:sup>
            <m:r>
              <w:rPr>
                <w:rFonts w:ascii="Cambria Math" w:hAnsi="Cambria Math"/>
                <w:color w:val="000000" w:themeColor="text1"/>
              </w:rPr>
              <m:t>*(b)</m:t>
            </m:r>
          </m:sup>
        </m:sSubSup>
      </m:oMath>
      <w:r w:rsidRPr="00856929">
        <w:rPr>
          <w:color w:val="000000" w:themeColor="text1"/>
        </w:rPr>
        <w:t xml:space="preserve">​ </w:t>
      </w:r>
      <w:r w:rsidR="00856929" w:rsidRPr="00856929">
        <w:rPr>
          <w:color w:val="000000" w:themeColor="text1"/>
        </w:rPr>
        <w:t xml:space="preserve">as </w:t>
      </w:r>
      <m:oMath>
        <m:r>
          <w:rPr>
            <w:rFonts w:ascii="Cambria Math" w:hAnsi="Cambria Math"/>
            <w:color w:val="000000" w:themeColor="text1"/>
          </w:rPr>
          <m:t xml:space="preserve">B </m:t>
        </m:r>
      </m:oMath>
      <w:r w:rsidR="00856929" w:rsidRPr="00856929">
        <w:rPr>
          <w:color w:val="000000" w:themeColor="text1"/>
        </w:rPr>
        <w:t>réplicas sob a referência; define-se:</w:t>
      </w:r>
    </w:p>
    <w:p w14:paraId="033A6833" w14:textId="6B68C959" w:rsidR="00856929" w:rsidRDefault="00856929" w:rsidP="00856929">
      <w:pPr>
        <w:pStyle w:val="Legenda"/>
        <w:keepNext/>
      </w:pPr>
      <w:r>
        <w:lastRenderedPageBreak/>
        <w:fldChar w:fldCharType="begin"/>
      </w:r>
      <w:r>
        <w:instrText xml:space="preserve"> SEQ Equação \* ARABIC </w:instrText>
      </w:r>
      <w:r>
        <w:fldChar w:fldCharType="separate"/>
      </w:r>
      <w:r w:rsidR="00F7526F">
        <w:rPr>
          <w:noProof/>
        </w:rPr>
        <w:t>12</w:t>
      </w:r>
      <w:r>
        <w:fldChar w:fldCharType="end"/>
      </w:r>
    </w:p>
    <w:p w14:paraId="19B2CC8D" w14:textId="5606180F" w:rsidR="00856929" w:rsidRPr="00856929" w:rsidRDefault="00856929" w:rsidP="005B3C3B">
      <w:pPr>
        <w:rPr>
          <w:rFonts w:eastAsiaTheme="minorEastAsia"/>
          <w:color w:val="000000" w:themeColor="text1"/>
        </w:rPr>
      </w:pPr>
      <m:oMathPara>
        <m:oMath>
          <m:r>
            <w:rPr>
              <w:rFonts w:ascii="Cambria Math" w:hAnsi="Cambria Math"/>
              <w:color w:val="000000" w:themeColor="text1"/>
            </w:rPr>
            <m:t>Gap(</m:t>
          </m:r>
          <m:r>
            <m:rPr>
              <m:scr m:val="script"/>
            </m:rPr>
            <w:rPr>
              <w:rFonts w:ascii="Cambria Math" w:eastAsiaTheme="minorEastAsia" w:hAnsi="Cambria Math"/>
            </w:rPr>
            <m:t>K</m:t>
          </m:r>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B</m:t>
              </m:r>
            </m:den>
          </m:f>
          <m:nary>
            <m:naryPr>
              <m:chr m:val="∑"/>
              <m:limLoc m:val="undOvr"/>
              <m:ctrlPr>
                <w:rPr>
                  <w:rFonts w:ascii="Cambria Math" w:hAnsi="Cambria Math"/>
                  <w:color w:val="000000" w:themeColor="text1"/>
                </w:rPr>
              </m:ctrlPr>
            </m:naryPr>
            <m:sub>
              <m:r>
                <w:rPr>
                  <w:rFonts w:ascii="Cambria Math" w:hAnsi="Cambria Math"/>
                  <w:color w:val="000000" w:themeColor="text1"/>
                </w:rPr>
                <m:t>b</m:t>
              </m:r>
              <m:r>
                <w:rPr>
                  <w:rFonts w:ascii="Cambria Math" w:hAnsi="Cambria Math"/>
                  <w:color w:val="000000" w:themeColor="text1"/>
                </w:rPr>
                <m:t>=1</m:t>
              </m:r>
            </m:sub>
            <m:sup>
              <m:r>
                <w:rPr>
                  <w:rFonts w:ascii="Cambria Math" w:hAnsi="Cambria Math"/>
                  <w:color w:val="000000" w:themeColor="text1"/>
                </w:rPr>
                <m:t>B</m:t>
              </m:r>
            </m:sup>
            <m:e>
              <m:func>
                <m:funcPr>
                  <m:ctrlPr>
                    <w:rPr>
                      <w:rFonts w:ascii="Cambria Math" w:hAnsi="Cambria Math"/>
                      <w:i/>
                      <w:color w:val="000000" w:themeColor="text1"/>
                    </w:rPr>
                  </m:ctrlPr>
                </m:funcPr>
                <m:fName>
                  <m:r>
                    <m:rPr>
                      <m:sty m:val="p"/>
                    </m:rPr>
                    <w:rPr>
                      <w:rFonts w:ascii="Cambria Math" w:hAnsi="Cambria Math"/>
                      <w:color w:val="000000" w:themeColor="text1"/>
                    </w:rPr>
                    <m:t>log</m:t>
                  </m:r>
                </m:fName>
                <m:e>
                  <m:sSubSup>
                    <m:sSubSupPr>
                      <m:ctrlPr>
                        <w:rPr>
                          <w:rFonts w:ascii="Cambria Math" w:hAnsi="Cambria Math"/>
                          <w:i/>
                          <w:color w:val="000000" w:themeColor="text1"/>
                        </w:rPr>
                      </m:ctrlPr>
                    </m:sSubSupPr>
                    <m:e>
                      <m:r>
                        <w:rPr>
                          <w:rFonts w:ascii="Cambria Math" w:hAnsi="Cambria Math"/>
                          <w:color w:val="000000" w:themeColor="text1"/>
                        </w:rPr>
                        <m:t>W</m:t>
                      </m:r>
                    </m:e>
                    <m:sub>
                      <m:r>
                        <m:rPr>
                          <m:scr m:val="script"/>
                        </m:rPr>
                        <w:rPr>
                          <w:rFonts w:ascii="Cambria Math" w:eastAsiaTheme="minorEastAsia" w:hAnsi="Cambria Math"/>
                        </w:rPr>
                        <m:t>K</m:t>
                      </m:r>
                    </m:sub>
                    <m:sup>
                      <m:r>
                        <w:rPr>
                          <w:rFonts w:ascii="Cambria Math" w:hAnsi="Cambria Math"/>
                          <w:color w:val="000000" w:themeColor="text1"/>
                        </w:rPr>
                        <m:t>*(b)</m:t>
                      </m:r>
                    </m:sup>
                  </m:sSubSup>
                </m:e>
              </m:func>
            </m:e>
          </m:nary>
          <m:r>
            <w:rPr>
              <w:rFonts w:ascii="Cambria Math" w:hAnsi="Cambria Math"/>
              <w:color w:val="000000" w:themeColor="text1"/>
            </w:rPr>
            <m:t xml:space="preserve">- </m:t>
          </m:r>
          <m:func>
            <m:funcPr>
              <m:ctrlPr>
                <w:rPr>
                  <w:rFonts w:ascii="Cambria Math" w:hAnsi="Cambria Math"/>
                  <w:i/>
                  <w:color w:val="000000" w:themeColor="text1"/>
                </w:rPr>
              </m:ctrlPr>
            </m:funcPr>
            <m:fName>
              <m:r>
                <m:rPr>
                  <m:sty m:val="p"/>
                </m:rPr>
                <w:rPr>
                  <w:rFonts w:ascii="Cambria Math" w:hAnsi="Cambria Math"/>
                  <w:color w:val="000000" w:themeColor="text1"/>
                </w:rPr>
                <m:t>log</m:t>
              </m:r>
            </m:fName>
            <m:e>
              <m:sSub>
                <m:sSubPr>
                  <m:ctrlPr>
                    <w:rPr>
                      <w:rFonts w:ascii="Cambria Math" w:hAnsi="Cambria Math"/>
                      <w:i/>
                      <w:color w:val="000000" w:themeColor="text1"/>
                    </w:rPr>
                  </m:ctrlPr>
                </m:sSubPr>
                <m:e>
                  <m:r>
                    <w:rPr>
                      <w:rFonts w:ascii="Cambria Math" w:hAnsi="Cambria Math"/>
                      <w:color w:val="000000" w:themeColor="text1"/>
                    </w:rPr>
                    <m:t>W</m:t>
                  </m:r>
                </m:e>
                <m:sub>
                  <m:r>
                    <m:rPr>
                      <m:scr m:val="script"/>
                    </m:rPr>
                    <w:rPr>
                      <w:rFonts w:ascii="Cambria Math" w:eastAsiaTheme="minorEastAsia" w:hAnsi="Cambria Math"/>
                    </w:rPr>
                    <m:t>K</m:t>
                  </m:r>
                </m:sub>
              </m:sSub>
            </m:e>
          </m:func>
        </m:oMath>
      </m:oMathPara>
    </w:p>
    <w:p w14:paraId="336A4C11" w14:textId="77777777" w:rsidR="00856929" w:rsidRDefault="00856929" w:rsidP="005B3C3B">
      <w:pPr>
        <w:rPr>
          <w:rFonts w:eastAsiaTheme="minorEastAsia"/>
          <w:color w:val="000000" w:themeColor="text1"/>
        </w:rPr>
      </w:pPr>
    </w:p>
    <w:p w14:paraId="21C1DE19" w14:textId="0AC071C6" w:rsidR="00856929" w:rsidRPr="00856929" w:rsidRDefault="00856929" w:rsidP="00856929">
      <w:pPr>
        <w:rPr>
          <w:color w:val="000000" w:themeColor="text1"/>
        </w:rPr>
      </w:pPr>
      <w:r w:rsidRPr="00856929">
        <w:rPr>
          <w:color w:val="000000" w:themeColor="text1"/>
        </w:rPr>
        <w:t xml:space="preserve">Escolhe-se o menor </w:t>
      </w:r>
      <m:oMath>
        <m:r>
          <m:rPr>
            <m:scr m:val="script"/>
          </m:rPr>
          <w:rPr>
            <w:rFonts w:ascii="Cambria Math" w:eastAsiaTheme="minorEastAsia" w:hAnsi="Cambria Math"/>
          </w:rPr>
          <m:t>K</m:t>
        </m:r>
      </m:oMath>
      <w:r w:rsidRPr="00856929">
        <w:rPr>
          <w:color w:val="000000" w:themeColor="text1"/>
        </w:rPr>
        <w:t xml:space="preserve"> </w:t>
      </w:r>
      <w:r w:rsidRPr="00856929">
        <w:rPr>
          <w:color w:val="000000" w:themeColor="text1"/>
        </w:rPr>
        <w:t xml:space="preserve">cujo </w:t>
      </w:r>
      <w:r w:rsidRPr="00856929">
        <w:rPr>
          <w:i/>
          <w:iCs/>
          <w:color w:val="000000" w:themeColor="text1"/>
        </w:rPr>
        <w:t>Gap</w:t>
      </w:r>
      <w:r w:rsidRPr="00856929">
        <w:rPr>
          <w:color w:val="000000" w:themeColor="text1"/>
        </w:rPr>
        <w:t xml:space="preserve"> esteja dentro do desvio-padrão ajustado do máximo (</w:t>
      </w:r>
      <w:r w:rsidRPr="00856929">
        <w:rPr>
          <w:i/>
          <w:iCs/>
          <w:color w:val="000000" w:themeColor="text1"/>
        </w:rPr>
        <w:t xml:space="preserve">regra de </w:t>
      </w:r>
      <w:proofErr w:type="spellStart"/>
      <w:r w:rsidRPr="00856929">
        <w:rPr>
          <w:i/>
          <w:iCs/>
          <w:color w:val="000000" w:themeColor="text1"/>
        </w:rPr>
        <w:t>Tibshirani</w:t>
      </w:r>
      <w:proofErr w:type="spellEnd"/>
      <w:r w:rsidRPr="00856929">
        <w:rPr>
          <w:color w:val="000000" w:themeColor="text1"/>
        </w:rPr>
        <w:t>).</w:t>
      </w:r>
    </w:p>
    <w:p w14:paraId="78584468" w14:textId="1FDAA392" w:rsidR="00856929" w:rsidRPr="00856929" w:rsidRDefault="00856929" w:rsidP="00856929">
      <w:pPr>
        <w:ind w:firstLine="708"/>
        <w:rPr>
          <w:color w:val="000000" w:themeColor="text1"/>
        </w:rPr>
      </w:pPr>
      <w:r w:rsidRPr="00856929">
        <w:rPr>
          <w:color w:val="000000" w:themeColor="text1"/>
        </w:rPr>
        <w:t xml:space="preserve">Além dos diagnósticos numéricos, a </w:t>
      </w:r>
      <w:proofErr w:type="spellStart"/>
      <w:r w:rsidRPr="00856929">
        <w:rPr>
          <w:color w:val="000000" w:themeColor="text1"/>
        </w:rPr>
        <w:t>interpretabilidade</w:t>
      </w:r>
      <w:proofErr w:type="spellEnd"/>
      <w:r w:rsidRPr="00856929">
        <w:rPr>
          <w:color w:val="000000" w:themeColor="text1"/>
        </w:rPr>
        <w:t xml:space="preserve"> econômica dos grupos é condição necessária: </w:t>
      </w:r>
      <w:proofErr w:type="spellStart"/>
      <w:r w:rsidRPr="00856929">
        <w:rPr>
          <w:color w:val="000000" w:themeColor="text1"/>
        </w:rPr>
        <w:t>centróides</w:t>
      </w:r>
      <w:proofErr w:type="spellEnd"/>
      <w:r w:rsidRPr="00856929">
        <w:rPr>
          <w:color w:val="000000" w:themeColor="text1"/>
        </w:rPr>
        <w:t xml:space="preserve"> devem refletir perfis reconhecíveis (por exemplo, “alta automação e alto incentivo por empregado” versus “médio porte e intensidade de trabalho”). Impõe-se, ainda, uma massa crítica mínima por cluster para preservar a capacidade discriminante do DEA subsequente; na prática, cada grupo deve conter unidades suficientemente numerosas face ao número de inputs/outputs do modelo de eficiência.</w:t>
      </w:r>
    </w:p>
    <w:p w14:paraId="6D452FFB" w14:textId="77777777" w:rsidR="00856929" w:rsidRPr="00856929" w:rsidRDefault="00856929" w:rsidP="00DC36E8">
      <w:pPr>
        <w:ind w:firstLine="708"/>
        <w:rPr>
          <w:color w:val="000000" w:themeColor="text1"/>
        </w:rPr>
      </w:pPr>
      <w:r w:rsidRPr="00856929">
        <w:rPr>
          <w:color w:val="000000" w:themeColor="text1"/>
        </w:rPr>
        <w:t>Para estabilidade, repete-se o K-</w:t>
      </w:r>
      <w:proofErr w:type="spellStart"/>
      <w:r w:rsidRPr="00856929">
        <w:rPr>
          <w:color w:val="000000" w:themeColor="text1"/>
        </w:rPr>
        <w:t>means</w:t>
      </w:r>
      <w:proofErr w:type="spellEnd"/>
      <w:r w:rsidRPr="00856929">
        <w:rPr>
          <w:color w:val="000000" w:themeColor="text1"/>
        </w:rPr>
        <w:t xml:space="preserve"> em </w:t>
      </w:r>
      <w:proofErr w:type="spellStart"/>
      <w:r w:rsidRPr="00856929">
        <w:rPr>
          <w:color w:val="000000" w:themeColor="text1"/>
        </w:rPr>
        <w:t>subamostragens</w:t>
      </w:r>
      <w:proofErr w:type="spellEnd"/>
      <w:r w:rsidRPr="00856929">
        <w:rPr>
          <w:color w:val="000000" w:themeColor="text1"/>
        </w:rPr>
        <w:t xml:space="preserve"> e com sementes distintas, verificando a persistência das atribuições (concordância entre partições). Confirmada a solução, os rótulos de cluster são congelados e aplicados a todos os anos 2018–2023. A análise descritiva posterior (medianas, dispersões, participação no incentivo/VA) perfilha cada grupo, fornecendo a base para a etapa seguinte: a estimação do DEA-VRS orientado a produto dentro de cada cluster.</w:t>
      </w:r>
    </w:p>
    <w:p w14:paraId="4D61F7F7" w14:textId="77777777" w:rsidR="00C910AA" w:rsidRPr="00CD17A4" w:rsidRDefault="00C910AA" w:rsidP="00DC36E8">
      <w:pPr>
        <w:ind w:firstLine="708"/>
      </w:pPr>
    </w:p>
    <w:p w14:paraId="6D7136D4" w14:textId="2B5003A2" w:rsidR="00DC36E8" w:rsidRPr="00433A31" w:rsidRDefault="00DC36E8" w:rsidP="00DC36E8">
      <w:pPr>
        <w:pStyle w:val="Ttulo2"/>
      </w:pPr>
      <w:bookmarkStart w:id="25" w:name="_Toc210058177"/>
      <w:r w:rsidRPr="00DC36E8">
        <w:t>ANÁLISE ENVOLTÓRIA DE DADOS (DEA): ESPECIFICAÇÃO DO MODELO</w:t>
      </w:r>
      <w:bookmarkEnd w:id="25"/>
      <w:r>
        <w:t xml:space="preserve"> </w:t>
      </w:r>
    </w:p>
    <w:p w14:paraId="2B514639" w14:textId="77777777" w:rsidR="00DC36E8" w:rsidRPr="00433A31" w:rsidRDefault="00DC36E8" w:rsidP="00DC36E8"/>
    <w:p w14:paraId="60FC48F9" w14:textId="77777777" w:rsidR="00DC36E8" w:rsidRPr="00DC36E8" w:rsidRDefault="00DC36E8" w:rsidP="003205A6">
      <w:pPr>
        <w:ind w:firstLine="708"/>
        <w:rPr>
          <w:color w:val="000000" w:themeColor="text1"/>
        </w:rPr>
      </w:pPr>
      <w:r w:rsidRPr="00DC36E8">
        <w:rPr>
          <w:color w:val="000000" w:themeColor="text1"/>
        </w:rPr>
        <w:t xml:space="preserve">A mensuração da eficiência dos subsetores do PIM será realizada por meio da Análise Envoltória de Dados (DEA), técnica não paramétrica introduzida por </w:t>
      </w:r>
      <w:proofErr w:type="spellStart"/>
      <w:r w:rsidRPr="00DC36E8">
        <w:rPr>
          <w:color w:val="000000" w:themeColor="text1"/>
        </w:rPr>
        <w:t>Charnes</w:t>
      </w:r>
      <w:proofErr w:type="spellEnd"/>
      <w:r w:rsidRPr="00DC36E8">
        <w:rPr>
          <w:color w:val="000000" w:themeColor="text1"/>
        </w:rPr>
        <w:t xml:space="preserve">, Cooper e Rhodes (1978) e estendida por </w:t>
      </w:r>
      <w:proofErr w:type="spellStart"/>
      <w:r w:rsidRPr="00DC36E8">
        <w:rPr>
          <w:color w:val="000000" w:themeColor="text1"/>
        </w:rPr>
        <w:t>Banker</w:t>
      </w:r>
      <w:proofErr w:type="spellEnd"/>
      <w:r w:rsidRPr="00DC36E8">
        <w:rPr>
          <w:color w:val="000000" w:themeColor="text1"/>
        </w:rPr>
        <w:t xml:space="preserve">, </w:t>
      </w:r>
      <w:proofErr w:type="spellStart"/>
      <w:r w:rsidRPr="00DC36E8">
        <w:rPr>
          <w:color w:val="000000" w:themeColor="text1"/>
        </w:rPr>
        <w:t>Charnes</w:t>
      </w:r>
      <w:proofErr w:type="spellEnd"/>
      <w:r w:rsidRPr="00DC36E8">
        <w:rPr>
          <w:color w:val="000000" w:themeColor="text1"/>
        </w:rPr>
        <w:t xml:space="preserve"> e Cooper (1984). O DEA permite estimar, com base nos dados observados, uma fronteira eficiente de produção, contra a qual cada unidade de decisão (DMU) — aqui, os subsetores da ZFM em cada ano — é avaliada. Essa abordagem é especialmente adequada ao contexto em análise, pois lida com múltiplos insumos e outputs sem necessidade de assumir forma funcional específica para a tecnologia de produção.</w:t>
      </w:r>
    </w:p>
    <w:p w14:paraId="49885CA3" w14:textId="7FD4E9AF" w:rsidR="00DC36E8" w:rsidRPr="00DC36E8" w:rsidRDefault="00DC36E8" w:rsidP="003205A6">
      <w:pPr>
        <w:ind w:firstLine="708"/>
        <w:rPr>
          <w:color w:val="000000" w:themeColor="text1"/>
        </w:rPr>
      </w:pPr>
      <w:r w:rsidRPr="00DC36E8">
        <w:rPr>
          <w:color w:val="000000" w:themeColor="text1"/>
        </w:rPr>
        <w:t>O insumo (input) é o incentivo fiscal recebido pelo subsetor</w:t>
      </w:r>
      <m:oMath>
        <m:r>
          <w:rPr>
            <w:rFonts w:ascii="Cambria Math" w:hAnsi="Cambria Math"/>
            <w:color w:val="000000" w:themeColor="text1"/>
          </w:rPr>
          <m:t xml:space="preserve"> </m:t>
        </m:r>
        <m:d>
          <m:dPr>
            <m:ctrlPr>
              <w:rPr>
                <w:rFonts w:ascii="Cambria Math" w:hAnsi="Cambria Math"/>
                <w:b/>
                <w:i/>
                <w:color w:val="000000" w:themeColor="text1"/>
              </w:rPr>
            </m:ctrlPr>
          </m:dPr>
          <m:e>
            <m:r>
              <w:rPr>
                <w:rFonts w:ascii="Cambria Math" w:hAnsi="Cambria Math"/>
                <w:color w:val="000000" w:themeColor="text1"/>
              </w:rPr>
              <m:t>Ii,t​</m:t>
            </m:r>
            <m:ctrlPr>
              <w:rPr>
                <w:rFonts w:ascii="Cambria Math" w:hAnsi="Cambria Math"/>
                <w:i/>
                <w:color w:val="000000" w:themeColor="text1"/>
              </w:rPr>
            </m:ctrlPr>
          </m:e>
        </m:d>
      </m:oMath>
      <w:r w:rsidRPr="00DC36E8">
        <w:rPr>
          <w:color w:val="000000" w:themeColor="text1"/>
        </w:rPr>
        <w:t xml:space="preserve">. Os outputs são: </w:t>
      </w:r>
      <m:oMath>
        <m:d>
          <m:dPr>
            <m:ctrlPr>
              <w:rPr>
                <w:rFonts w:ascii="Cambria Math" w:hAnsi="Cambria Math"/>
                <w:color w:val="000000" w:themeColor="text1"/>
              </w:rPr>
            </m:ctrlPr>
          </m:dPr>
          <m:e>
            <m:r>
              <m:rPr>
                <m:sty m:val="p"/>
              </m:rPr>
              <w:rPr>
                <w:rFonts w:ascii="Cambria Math" w:hAnsi="Cambria Math"/>
                <w:color w:val="000000" w:themeColor="text1"/>
              </w:rPr>
              <m:t>i</m:t>
            </m:r>
          </m:e>
        </m:d>
      </m:oMath>
      <w:r w:rsidR="003205A6">
        <w:rPr>
          <w:rFonts w:eastAsiaTheme="minorEastAsia"/>
          <w:color w:val="000000" w:themeColor="text1"/>
        </w:rPr>
        <w:t xml:space="preserve"> </w:t>
      </w:r>
      <w:r w:rsidRPr="00DC36E8">
        <w:rPr>
          <w:color w:val="000000" w:themeColor="text1"/>
        </w:rPr>
        <w:t xml:space="preserve">o valor adicionado bruto </w:t>
      </w:r>
      <m:oMath>
        <m:d>
          <m:dPr>
            <m:ctrlPr>
              <w:rPr>
                <w:rFonts w:ascii="Cambria Math" w:hAnsi="Cambria Math"/>
                <w:b/>
                <w:i/>
                <w:color w:val="000000" w:themeColor="text1"/>
              </w:rPr>
            </m:ctrlPr>
          </m:dPr>
          <m:e>
            <m:r>
              <w:rPr>
                <w:rFonts w:ascii="Cambria Math" w:hAnsi="Cambria Math"/>
                <w:color w:val="000000" w:themeColor="text1"/>
              </w:rPr>
              <m:t>VAi,t​</m:t>
            </m:r>
            <m:ctrlPr>
              <w:rPr>
                <w:rFonts w:ascii="Cambria Math" w:hAnsi="Cambria Math"/>
                <w:i/>
                <w:color w:val="000000" w:themeColor="text1"/>
              </w:rPr>
            </m:ctrlPr>
          </m:e>
        </m:d>
      </m:oMath>
      <w:r w:rsidR="003205A6">
        <w:rPr>
          <w:rFonts w:eastAsiaTheme="minorEastAsia"/>
          <w:color w:val="000000" w:themeColor="text1"/>
        </w:rPr>
        <w:t xml:space="preserve">, </w:t>
      </w:r>
      <w:r w:rsidRPr="00DC36E8">
        <w:rPr>
          <w:color w:val="000000" w:themeColor="text1"/>
        </w:rPr>
        <w:t xml:space="preserve">que captura a contribuição econômica líquida do setor à economia local, e </w:t>
      </w:r>
      <m:oMath>
        <m:r>
          <w:rPr>
            <w:rFonts w:ascii="Cambria Math" w:hAnsi="Cambria Math"/>
            <w:color w:val="000000" w:themeColor="text1"/>
          </w:rPr>
          <m:t>(ii)</m:t>
        </m:r>
      </m:oMath>
      <w:r w:rsidRPr="00DC36E8">
        <w:rPr>
          <w:color w:val="000000" w:themeColor="text1"/>
        </w:rPr>
        <w:t xml:space="preserve"> o emprego formal </w:t>
      </w:r>
      <m:oMath>
        <m:d>
          <m:dPr>
            <m:ctrlPr>
              <w:rPr>
                <w:rFonts w:ascii="Cambria Math" w:hAnsi="Cambria Math"/>
                <w:b/>
                <w:i/>
                <w:color w:val="000000" w:themeColor="text1"/>
              </w:rPr>
            </m:ctrlPr>
          </m:dPr>
          <m:e>
            <m:r>
              <w:rPr>
                <w:rFonts w:ascii="Cambria Math" w:hAnsi="Cambria Math"/>
                <w:color w:val="000000" w:themeColor="text1"/>
              </w:rPr>
              <m:t>Ei,t​</m:t>
            </m:r>
            <m:ctrlPr>
              <w:rPr>
                <w:rFonts w:ascii="Cambria Math" w:hAnsi="Cambria Math"/>
                <w:i/>
                <w:color w:val="000000" w:themeColor="text1"/>
              </w:rPr>
            </m:ctrlPr>
          </m:e>
        </m:d>
      </m:oMath>
      <w:r w:rsidR="003205A6">
        <w:rPr>
          <w:rFonts w:eastAsiaTheme="minorEastAsia"/>
          <w:color w:val="000000" w:themeColor="text1"/>
        </w:rPr>
        <w:t xml:space="preserve">, </w:t>
      </w:r>
      <w:r w:rsidRPr="00DC36E8">
        <w:rPr>
          <w:color w:val="000000" w:themeColor="text1"/>
        </w:rPr>
        <w:t xml:space="preserve">indicador de desenvolvimento </w:t>
      </w:r>
      <w:r w:rsidRPr="00DC36E8">
        <w:rPr>
          <w:color w:val="000000" w:themeColor="text1"/>
        </w:rPr>
        <w:lastRenderedPageBreak/>
        <w:t>social associado à geração de postos de trabalho. A escolha desses outputs reflete diretamente os objetivos de política pública da ZFM: transformar renúncias fiscais em crescimento econômico e ocupação.</w:t>
      </w:r>
    </w:p>
    <w:p w14:paraId="2E9D7ACD" w14:textId="6A7CC5F7" w:rsidR="003205A6" w:rsidRPr="00DC36E8" w:rsidRDefault="00DC36E8" w:rsidP="003205A6">
      <w:pPr>
        <w:ind w:firstLine="708"/>
        <w:rPr>
          <w:color w:val="000000" w:themeColor="text1"/>
        </w:rPr>
      </w:pPr>
      <w:r w:rsidRPr="00DC36E8">
        <w:rPr>
          <w:color w:val="000000" w:themeColor="text1"/>
        </w:rPr>
        <w:t>O modelo adotado é o DEA-VRS orientado a outputs. A hipótese de retornos variáveis de escala (VRS) separa a eficiência técnica pura da eficiência de escala, crucial em um polo que abriga desde plantas de pequeno porte até fábricas de grande escala. A orientação a outputs decorre do problema de política: dado o montante de incentivo fiscal, interessa verificar o quanto de VA e emprego cada subsetor consegue gerar, ou seja, sua capacidade de maximizar resultados a partir de um insumo dado.</w:t>
      </w:r>
    </w:p>
    <w:p w14:paraId="52F8D7A4" w14:textId="116703CF" w:rsidR="003205A6" w:rsidRPr="009653FD" w:rsidRDefault="00DC36E8" w:rsidP="00FF66E7">
      <w:pPr>
        <w:ind w:firstLine="708"/>
        <w:rPr>
          <w:color w:val="000000" w:themeColor="text1"/>
        </w:rPr>
      </w:pPr>
      <w:r w:rsidRPr="00DC36E8">
        <w:rPr>
          <w:color w:val="000000" w:themeColor="text1"/>
        </w:rPr>
        <w:t>Formalmente, para uma DMU</w:t>
      </w:r>
      <w:r w:rsidR="003205A6">
        <w:rPr>
          <w:color w:val="000000" w:themeColor="text1"/>
        </w:rPr>
        <w:t xml:space="preserve"> </w:t>
      </w:r>
      <m:oMath>
        <m:r>
          <w:rPr>
            <w:rFonts w:ascii="Cambria Math" w:hAnsi="Cambria Math"/>
            <w:color w:val="000000" w:themeColor="text1"/>
          </w:rPr>
          <m:t>o</m:t>
        </m:r>
      </m:oMath>
      <w:r w:rsidRPr="00DC36E8">
        <w:rPr>
          <w:color w:val="000000" w:themeColor="text1"/>
        </w:rPr>
        <w:t>, o modelo DEA-VRS orientado a outputs pode ser expresso como:</w:t>
      </w:r>
    </w:p>
    <w:p w14:paraId="4D84D2DF" w14:textId="0E9194FF" w:rsidR="003205A6" w:rsidRPr="009653FD" w:rsidRDefault="003205A6" w:rsidP="003205A6">
      <w:pPr>
        <w:pStyle w:val="Legenda"/>
        <w:keepNext/>
      </w:pPr>
      <w:r w:rsidRPr="009653FD">
        <w:fldChar w:fldCharType="begin"/>
      </w:r>
      <w:r w:rsidRPr="009653FD">
        <w:instrText xml:space="preserve"> SEQ Equação \* ARABIC </w:instrText>
      </w:r>
      <w:r w:rsidRPr="009653FD">
        <w:fldChar w:fldCharType="separate"/>
      </w:r>
      <w:r w:rsidR="00F7526F">
        <w:rPr>
          <w:noProof/>
        </w:rPr>
        <w:t>13</w:t>
      </w:r>
      <w:r w:rsidRPr="009653FD">
        <w:fldChar w:fldCharType="end"/>
      </w:r>
    </w:p>
    <w:p w14:paraId="4BD11ABF" w14:textId="171D3015" w:rsidR="003205A6" w:rsidRPr="009653FD" w:rsidRDefault="003205A6" w:rsidP="003205A6">
      <w:pPr>
        <w:ind w:firstLine="708"/>
        <w:rPr>
          <w:color w:val="000000" w:themeColor="text1"/>
        </w:rPr>
      </w:pPr>
      <m:oMathPara>
        <m:oMathParaPr>
          <m:jc m:val="center"/>
        </m:oMathParaPr>
        <m:oMath>
          <m:f>
            <m:fPr>
              <m:ctrlPr>
                <w:rPr>
                  <w:rFonts w:ascii="Cambria Math" w:hAnsi="Cambria Math"/>
                  <w:i/>
                  <w:color w:val="000000" w:themeColor="text1"/>
                </w:rPr>
              </m:ctrlPr>
            </m:fPr>
            <m:num>
              <m:r>
                <w:rPr>
                  <w:rFonts w:ascii="Cambria Math" w:hAnsi="Cambria Math"/>
                  <w:color w:val="000000" w:themeColor="text1"/>
                </w:rPr>
                <m:t>max</m:t>
              </m:r>
            </m:num>
            <m:den>
              <m:r>
                <w:rPr>
                  <w:rFonts w:ascii="Cambria Math" w:hAnsi="Cambria Math"/>
                  <w:color w:val="000000" w:themeColor="text1"/>
                </w:rPr>
                <m:t>θ</m:t>
              </m:r>
              <m:r>
                <w:rPr>
                  <w:rFonts w:ascii="Cambria Math" w:hAnsi="Cambria Math"/>
                  <w:color w:val="000000" w:themeColor="text1"/>
                </w:rPr>
                <m:t xml:space="preserve">,  </m:t>
              </m:r>
              <m:r>
                <w:rPr>
                  <w:rFonts w:ascii="Cambria Math" w:hAnsi="Cambria Math"/>
                  <w:color w:val="000000" w:themeColor="text1"/>
                </w:rPr>
                <m:t>λ</m:t>
              </m:r>
              <m:r>
                <w:rPr>
                  <w:rFonts w:ascii="Cambria Math" w:hAnsi="Cambria Math"/>
                  <w:color w:val="000000" w:themeColor="text1"/>
                </w:rPr>
                <m:t xml:space="preserve"> </m:t>
              </m:r>
            </m:den>
          </m:f>
          <m:r>
            <w:rPr>
              <w:rFonts w:ascii="Cambria Math" w:hAnsi="Cambria Math"/>
              <w:color w:val="000000" w:themeColor="text1"/>
            </w:rPr>
            <m:t xml:space="preserve"> </m:t>
          </m:r>
          <m:r>
            <w:rPr>
              <w:rFonts w:ascii="Cambria Math" w:hAnsi="Cambria Math"/>
              <w:color w:val="000000" w:themeColor="text1"/>
            </w:rPr>
            <m:t>θ</m:t>
          </m:r>
        </m:oMath>
      </m:oMathPara>
    </w:p>
    <w:p w14:paraId="0583FD9B" w14:textId="49755601" w:rsidR="003205A6" w:rsidRPr="009653FD" w:rsidRDefault="003205A6" w:rsidP="003205A6">
      <w:pPr>
        <w:rPr>
          <w:color w:val="000000" w:themeColor="text1"/>
        </w:rPr>
      </w:pPr>
      <w:r w:rsidRPr="009653FD">
        <w:t>sujeito</w:t>
      </w:r>
      <w:r w:rsidRPr="009653FD">
        <w:rPr>
          <w:color w:val="000000" w:themeColor="text1"/>
        </w:rPr>
        <w:t xml:space="preserve"> a:</w:t>
      </w:r>
    </w:p>
    <w:p w14:paraId="003B2954" w14:textId="77777777" w:rsidR="006A67F3" w:rsidRPr="009653FD" w:rsidRDefault="006A67F3" w:rsidP="003205A6">
      <w:pPr>
        <w:rPr>
          <w:color w:val="000000" w:themeColor="text1"/>
        </w:rPr>
      </w:pPr>
    </w:p>
    <w:p w14:paraId="5F5BBED5" w14:textId="13470B50" w:rsidR="006A67F3" w:rsidRPr="009653FD" w:rsidRDefault="006A67F3" w:rsidP="006A67F3">
      <w:pPr>
        <w:pStyle w:val="Legenda"/>
        <w:keepNext/>
      </w:pPr>
      <w:r w:rsidRPr="009653FD">
        <w:fldChar w:fldCharType="begin"/>
      </w:r>
      <w:r w:rsidRPr="009653FD">
        <w:instrText xml:space="preserve"> SEQ Equação \* ARABIC </w:instrText>
      </w:r>
      <w:r w:rsidRPr="009653FD">
        <w:fldChar w:fldCharType="separate"/>
      </w:r>
      <w:r w:rsidR="00F7526F">
        <w:rPr>
          <w:noProof/>
        </w:rPr>
        <w:t>14</w:t>
      </w:r>
      <w:r w:rsidRPr="009653FD">
        <w:fldChar w:fldCharType="end"/>
      </w:r>
    </w:p>
    <w:p w14:paraId="7E290FC7" w14:textId="55CCF2D1" w:rsidR="003205A6" w:rsidRPr="009653FD" w:rsidRDefault="003205A6" w:rsidP="006A67F3">
      <w:pPr>
        <w:rPr>
          <w:color w:val="000000" w:themeColor="text1"/>
        </w:rPr>
      </w:pPr>
      <m:oMathPara>
        <m:oMathParaPr>
          <m:jc m:val="center"/>
        </m:oMathParaPr>
        <m:oMath>
          <m:nary>
            <m:naryPr>
              <m:chr m:val="∑"/>
              <m:limLoc m:val="undOvr"/>
              <m:ctrlPr>
                <w:rPr>
                  <w:rFonts w:ascii="Cambria Math" w:hAnsi="Cambria Math"/>
                  <w:i/>
                  <w:color w:val="000000" w:themeColor="text1"/>
                </w:rPr>
              </m:ctrlPr>
            </m:naryPr>
            <m:sub>
              <m:r>
                <w:rPr>
                  <w:rFonts w:ascii="Cambria Math" w:hAnsi="Cambria Math"/>
                  <w:color w:val="000000" w:themeColor="text1"/>
                </w:rPr>
                <m:t>j=1</m:t>
              </m:r>
            </m:sub>
            <m:sup>
              <m:r>
                <w:rPr>
                  <w:rFonts w:ascii="Cambria Math" w:hAnsi="Cambria Math"/>
                  <w:color w:val="000000" w:themeColor="text1"/>
                </w:rPr>
                <m:t>n</m:t>
              </m:r>
            </m:sup>
            <m:e>
              <m:r>
                <w:rPr>
                  <w:rFonts w:ascii="Cambria Math" w:hAnsi="Cambria Math"/>
                  <w:color w:val="000000" w:themeColor="text1"/>
                </w:rPr>
                <m:t>λj​Ij​ ≤ Io</m:t>
              </m:r>
            </m:e>
          </m:nary>
        </m:oMath>
      </m:oMathPara>
    </w:p>
    <w:p w14:paraId="6940A8DD" w14:textId="0D3C753A" w:rsidR="006A67F3" w:rsidRPr="009653FD" w:rsidRDefault="006A67F3" w:rsidP="006A67F3">
      <w:pPr>
        <w:pStyle w:val="Legenda"/>
        <w:keepNext/>
      </w:pPr>
      <w:r w:rsidRPr="009653FD">
        <w:fldChar w:fldCharType="begin"/>
      </w:r>
      <w:r w:rsidRPr="009653FD">
        <w:instrText xml:space="preserve"> SEQ Equação \* ARABIC </w:instrText>
      </w:r>
      <w:r w:rsidRPr="009653FD">
        <w:fldChar w:fldCharType="separate"/>
      </w:r>
      <w:r w:rsidR="00F7526F">
        <w:rPr>
          <w:noProof/>
        </w:rPr>
        <w:t>15</w:t>
      </w:r>
      <w:r w:rsidRPr="009653FD">
        <w:fldChar w:fldCharType="end"/>
      </w:r>
    </w:p>
    <w:p w14:paraId="1BC75811" w14:textId="1F83DCB9" w:rsidR="006A67F3" w:rsidRPr="009653FD" w:rsidRDefault="006A67F3" w:rsidP="006A67F3">
      <w:pPr>
        <w:rPr>
          <w:color w:val="000000" w:themeColor="text1"/>
        </w:rPr>
      </w:pPr>
      <m:oMathPara>
        <m:oMathParaPr>
          <m:jc m:val="center"/>
        </m:oMathParaPr>
        <m:oMath>
          <m:nary>
            <m:naryPr>
              <m:chr m:val="∑"/>
              <m:limLoc m:val="undOvr"/>
              <m:ctrlPr>
                <w:rPr>
                  <w:rFonts w:ascii="Cambria Math" w:hAnsi="Cambria Math"/>
                  <w:i/>
                  <w:color w:val="000000" w:themeColor="text1"/>
                </w:rPr>
              </m:ctrlPr>
            </m:naryPr>
            <m:sub>
              <m:r>
                <w:rPr>
                  <w:rFonts w:ascii="Cambria Math" w:hAnsi="Cambria Math"/>
                  <w:color w:val="000000" w:themeColor="text1"/>
                </w:rPr>
                <m:t>j=1</m:t>
              </m:r>
            </m:sub>
            <m:sup>
              <m:r>
                <w:rPr>
                  <w:rFonts w:ascii="Cambria Math" w:hAnsi="Cambria Math"/>
                  <w:color w:val="000000" w:themeColor="text1"/>
                </w:rPr>
                <m:t>n</m:t>
              </m:r>
            </m:sup>
            <m:e>
              <m:r>
                <w:rPr>
                  <w:rFonts w:ascii="Cambria Math" w:hAnsi="Cambria Math"/>
                  <w:color w:val="000000" w:themeColor="text1"/>
                </w:rPr>
                <m:t>λj​VAj​​ ≤ θVAo​</m:t>
              </m:r>
            </m:e>
          </m:nary>
        </m:oMath>
      </m:oMathPara>
    </w:p>
    <w:p w14:paraId="69F02C0E" w14:textId="6D574A7D" w:rsidR="006A67F3" w:rsidRPr="009653FD" w:rsidRDefault="006A67F3" w:rsidP="006A67F3">
      <w:pPr>
        <w:pStyle w:val="Legenda"/>
        <w:keepNext/>
      </w:pPr>
      <w:r w:rsidRPr="009653FD">
        <w:fldChar w:fldCharType="begin"/>
      </w:r>
      <w:r w:rsidRPr="009653FD">
        <w:instrText xml:space="preserve"> SEQ Equação \* ARABIC </w:instrText>
      </w:r>
      <w:r w:rsidRPr="009653FD">
        <w:fldChar w:fldCharType="separate"/>
      </w:r>
      <w:r w:rsidR="00F7526F">
        <w:rPr>
          <w:noProof/>
        </w:rPr>
        <w:t>16</w:t>
      </w:r>
      <w:r w:rsidRPr="009653FD">
        <w:fldChar w:fldCharType="end"/>
      </w:r>
    </w:p>
    <w:p w14:paraId="55AE1414" w14:textId="29E7C95D" w:rsidR="006A67F3" w:rsidRPr="009653FD" w:rsidRDefault="006A67F3" w:rsidP="006A67F3">
      <w:pPr>
        <w:rPr>
          <w:rFonts w:eastAsiaTheme="minorEastAsia"/>
          <w:color w:val="000000" w:themeColor="text1"/>
        </w:rPr>
      </w:pPr>
      <m:oMathPara>
        <m:oMath>
          <m:nary>
            <m:naryPr>
              <m:chr m:val="∑"/>
              <m:limLoc m:val="undOvr"/>
              <m:ctrlPr>
                <w:rPr>
                  <w:rFonts w:ascii="Cambria Math" w:hAnsi="Cambria Math"/>
                  <w:i/>
                  <w:color w:val="000000" w:themeColor="text1"/>
                </w:rPr>
              </m:ctrlPr>
            </m:naryPr>
            <m:sub>
              <m:r>
                <w:rPr>
                  <w:rFonts w:ascii="Cambria Math" w:hAnsi="Cambria Math"/>
                  <w:color w:val="000000" w:themeColor="text1"/>
                </w:rPr>
                <m:t>j=1</m:t>
              </m:r>
            </m:sub>
            <m:sup>
              <m:r>
                <w:rPr>
                  <w:rFonts w:ascii="Cambria Math" w:hAnsi="Cambria Math"/>
                  <w:color w:val="000000" w:themeColor="text1"/>
                </w:rPr>
                <m:t>n</m:t>
              </m:r>
            </m:sup>
            <m:e>
              <m:r>
                <w:rPr>
                  <w:rFonts w:ascii="Cambria Math" w:hAnsi="Cambria Math"/>
                  <w:color w:val="000000" w:themeColor="text1"/>
                </w:rPr>
                <m:t>λj​Ej​ ≤ θEo​</m:t>
              </m:r>
            </m:e>
          </m:nary>
        </m:oMath>
      </m:oMathPara>
    </w:p>
    <w:p w14:paraId="1324E374" w14:textId="728906B7" w:rsidR="006A67F3" w:rsidRPr="009653FD" w:rsidRDefault="006A67F3" w:rsidP="006A67F3">
      <w:pPr>
        <w:pStyle w:val="Legenda"/>
        <w:keepNext/>
      </w:pPr>
      <w:r w:rsidRPr="009653FD">
        <w:fldChar w:fldCharType="begin"/>
      </w:r>
      <w:r w:rsidRPr="009653FD">
        <w:instrText xml:space="preserve"> SEQ Equação \* ARABIC </w:instrText>
      </w:r>
      <w:r w:rsidRPr="009653FD">
        <w:fldChar w:fldCharType="separate"/>
      </w:r>
      <w:r w:rsidR="00F7526F">
        <w:rPr>
          <w:noProof/>
        </w:rPr>
        <w:t>17</w:t>
      </w:r>
      <w:r w:rsidRPr="009653FD">
        <w:fldChar w:fldCharType="end"/>
      </w:r>
    </w:p>
    <w:p w14:paraId="0F011A82" w14:textId="3809C6AF" w:rsidR="009653FD" w:rsidRPr="00FF66E7" w:rsidRDefault="006A67F3" w:rsidP="006A67F3">
      <w:pPr>
        <w:rPr>
          <w:rFonts w:eastAsiaTheme="minorEastAsia"/>
          <w:color w:val="000000" w:themeColor="text1"/>
        </w:rPr>
      </w:pPr>
      <m:oMathPara>
        <m:oMath>
          <m:nary>
            <m:naryPr>
              <m:chr m:val="∑"/>
              <m:limLoc m:val="undOvr"/>
              <m:ctrlPr>
                <w:rPr>
                  <w:rFonts w:ascii="Cambria Math" w:hAnsi="Cambria Math"/>
                  <w:i/>
                  <w:color w:val="000000" w:themeColor="text1"/>
                </w:rPr>
              </m:ctrlPr>
            </m:naryPr>
            <m:sub>
              <m:r>
                <w:rPr>
                  <w:rFonts w:ascii="Cambria Math" w:hAnsi="Cambria Math"/>
                  <w:color w:val="000000" w:themeColor="text1"/>
                </w:rPr>
                <m:t>j=1</m:t>
              </m:r>
            </m:sub>
            <m:sup>
              <m:r>
                <w:rPr>
                  <w:rFonts w:ascii="Cambria Math" w:hAnsi="Cambria Math"/>
                  <w:color w:val="000000" w:themeColor="text1"/>
                </w:rPr>
                <m:t>n</m:t>
              </m:r>
            </m:sup>
            <m:e>
              <m:r>
                <w:rPr>
                  <w:rFonts w:ascii="Cambria Math" w:hAnsi="Cambria Math"/>
                  <w:color w:val="000000" w:themeColor="text1"/>
                </w:rPr>
                <m:t>λj​ = 1,   λj​ ≥ 0 ​∀j</m:t>
              </m:r>
            </m:e>
          </m:nary>
        </m:oMath>
      </m:oMathPara>
    </w:p>
    <w:p w14:paraId="18E6CF06" w14:textId="77777777" w:rsidR="00FF66E7" w:rsidRDefault="00FF66E7" w:rsidP="006A67F3">
      <w:pPr>
        <w:rPr>
          <w:rFonts w:eastAsiaTheme="minorEastAsia"/>
          <w:color w:val="000000" w:themeColor="text1"/>
        </w:rPr>
      </w:pPr>
    </w:p>
    <w:p w14:paraId="58EF19AB" w14:textId="77777777" w:rsidR="00FF66E7" w:rsidRDefault="009653FD" w:rsidP="006A67F3">
      <w:pPr>
        <w:rPr>
          <w:color w:val="000000" w:themeColor="text1"/>
        </w:rPr>
      </w:pPr>
      <w:r w:rsidRPr="009653FD">
        <w:rPr>
          <w:color w:val="000000" w:themeColor="text1"/>
        </w:rPr>
        <w:t xml:space="preserve">em que </w:t>
      </w:r>
      <m:oMath>
        <m:r>
          <w:rPr>
            <w:rFonts w:ascii="Cambria Math" w:hAnsi="Cambria Math"/>
            <w:color w:val="000000" w:themeColor="text1"/>
          </w:rPr>
          <m:t xml:space="preserve">θ </m:t>
        </m:r>
      </m:oMath>
      <w:r w:rsidRPr="009653FD">
        <w:rPr>
          <w:color w:val="000000" w:themeColor="text1"/>
        </w:rPr>
        <w:t xml:space="preserve">é o escore de eficiência da DMU avaliada (com </w:t>
      </w:r>
      <m:oMath>
        <m:r>
          <w:rPr>
            <w:rFonts w:ascii="Cambria Math" w:hAnsi="Cambria Math"/>
            <w:color w:val="000000" w:themeColor="text1"/>
          </w:rPr>
          <m:t>θ</m:t>
        </m:r>
      </m:oMath>
      <w:r w:rsidRPr="009653FD">
        <w:rPr>
          <w:color w:val="000000" w:themeColor="text1"/>
        </w:rPr>
        <w:t xml:space="preserve"> </w:t>
      </w:r>
      <w:r w:rsidRPr="009653FD">
        <w:rPr>
          <w:color w:val="000000" w:themeColor="text1"/>
        </w:rPr>
        <w:t>≤</w:t>
      </w:r>
      <w:r w:rsidRPr="009653FD">
        <w:rPr>
          <w:color w:val="000000" w:themeColor="text1"/>
        </w:rPr>
        <w:t xml:space="preserve"> </w:t>
      </w:r>
      <w:r w:rsidRPr="009653FD">
        <w:rPr>
          <w:color w:val="000000" w:themeColor="text1"/>
        </w:rPr>
        <w:t xml:space="preserve">1), e os pesos </w:t>
      </w:r>
      <m:oMath>
        <m:r>
          <w:rPr>
            <w:rFonts w:ascii="Cambria Math" w:hAnsi="Cambria Math"/>
            <w:color w:val="000000" w:themeColor="text1"/>
          </w:rPr>
          <m:t>λj</m:t>
        </m:r>
      </m:oMath>
      <w:r w:rsidRPr="009653FD">
        <w:rPr>
          <w:color w:val="000000" w:themeColor="text1"/>
        </w:rPr>
        <w:t xml:space="preserve">​ definem combinações convexas de </w:t>
      </w:r>
      <w:proofErr w:type="spellStart"/>
      <w:r w:rsidRPr="009653FD">
        <w:rPr>
          <w:color w:val="000000" w:themeColor="text1"/>
        </w:rPr>
        <w:t>DMUs</w:t>
      </w:r>
      <w:proofErr w:type="spellEnd"/>
      <w:r w:rsidRPr="009653FD">
        <w:rPr>
          <w:color w:val="000000" w:themeColor="text1"/>
        </w:rPr>
        <w:t xml:space="preserve"> de referência que formam a fronteira eficiente. </w:t>
      </w:r>
    </w:p>
    <w:p w14:paraId="3DF20613" w14:textId="37CBF650" w:rsidR="009653FD" w:rsidRPr="009653FD" w:rsidRDefault="009653FD" w:rsidP="00FF66E7">
      <w:pPr>
        <w:ind w:firstLine="708"/>
        <w:rPr>
          <w:color w:val="000000" w:themeColor="text1"/>
        </w:rPr>
      </w:pPr>
      <w:r w:rsidRPr="009653FD">
        <w:rPr>
          <w:color w:val="000000" w:themeColor="text1"/>
        </w:rPr>
        <w:t xml:space="preserve">Valores de </w:t>
      </w:r>
      <m:oMath>
        <m:r>
          <w:rPr>
            <w:rFonts w:ascii="Cambria Math" w:hAnsi="Cambria Math"/>
            <w:color w:val="000000" w:themeColor="text1"/>
          </w:rPr>
          <m:t>θ</m:t>
        </m:r>
      </m:oMath>
      <w:r w:rsidRPr="009653FD">
        <w:rPr>
          <w:color w:val="000000" w:themeColor="text1"/>
        </w:rPr>
        <w:t xml:space="preserve"> </w:t>
      </w:r>
      <w:r w:rsidRPr="009653FD">
        <w:rPr>
          <w:color w:val="000000" w:themeColor="text1"/>
        </w:rPr>
        <w:t>=1</w:t>
      </w:r>
      <w:r w:rsidRPr="009653FD">
        <w:rPr>
          <w:color w:val="000000" w:themeColor="text1"/>
        </w:rPr>
        <w:t xml:space="preserve"> </w:t>
      </w:r>
      <w:r w:rsidRPr="009653FD">
        <w:rPr>
          <w:color w:val="000000" w:themeColor="text1"/>
        </w:rPr>
        <w:t xml:space="preserve">indicam eficiência plena: o subsetor gera tanto VA quanto empregos quanto seria possível, dadas as melhores práticas observadas. Valores inferiores </w:t>
      </w:r>
      <w:r w:rsidRPr="009653FD">
        <w:rPr>
          <w:color w:val="000000" w:themeColor="text1"/>
        </w:rPr>
        <w:lastRenderedPageBreak/>
        <w:t xml:space="preserve">a 1 indicam ineficiência relativa, ou seja, a possibilidade de ampliar outputs proporcionalmente </w:t>
      </w:r>
      <w:proofErr w:type="gramStart"/>
      <w:r w:rsidRPr="009653FD">
        <w:rPr>
          <w:color w:val="000000" w:themeColor="text1"/>
        </w:rPr>
        <w:t>mantendo o mesmo</w:t>
      </w:r>
      <w:proofErr w:type="gramEnd"/>
      <w:r w:rsidRPr="009653FD">
        <w:rPr>
          <w:color w:val="000000" w:themeColor="text1"/>
        </w:rPr>
        <w:t xml:space="preserve"> nível de insumo.</w:t>
      </w:r>
    </w:p>
    <w:p w14:paraId="55AA15FC" w14:textId="2EBD860A" w:rsidR="009653FD" w:rsidRPr="009653FD" w:rsidRDefault="009653FD" w:rsidP="00FF66E7">
      <w:pPr>
        <w:ind w:firstLine="708"/>
        <w:rPr>
          <w:rFonts w:eastAsiaTheme="minorEastAsia"/>
          <w:color w:val="000000" w:themeColor="text1"/>
        </w:rPr>
      </w:pPr>
      <w:r w:rsidRPr="009653FD">
        <w:rPr>
          <w:rFonts w:eastAsiaTheme="minorEastAsia"/>
          <w:color w:val="000000" w:themeColor="text1"/>
        </w:rPr>
        <w:t>Essa formulação permite identificar não apenas quais subsetores se destacam como benchmarks de eficiência, mas também quais apresentam folgas (slacks) na conversão de incentivos em VA e empregos. Além disso, a decomposição em eficiência técnica pura e de escala, possibilitada pela especificação VRS, fornece diagnósticos distintos: ineficiências podem decorrer de gestão e organização (ineficiência técnica) ou de porte inadequado da planta (ineficiência de escala).</w:t>
      </w:r>
    </w:p>
    <w:p w14:paraId="085AEBEE" w14:textId="2319CF4C" w:rsidR="009653FD" w:rsidRDefault="009653FD" w:rsidP="009653FD">
      <w:pPr>
        <w:ind w:firstLine="708"/>
        <w:rPr>
          <w:rFonts w:eastAsiaTheme="minorEastAsia"/>
          <w:color w:val="000000" w:themeColor="text1"/>
        </w:rPr>
      </w:pPr>
      <w:r w:rsidRPr="009653FD">
        <w:rPr>
          <w:rFonts w:eastAsiaTheme="minorEastAsia"/>
          <w:color w:val="000000" w:themeColor="text1"/>
        </w:rPr>
        <w:t>Por fim, a estimação do DEA será realizada separadamente dentro de cada cluster obtido via K-</w:t>
      </w:r>
      <w:proofErr w:type="spellStart"/>
      <w:r w:rsidRPr="009653FD">
        <w:rPr>
          <w:rFonts w:eastAsiaTheme="minorEastAsia"/>
          <w:color w:val="000000" w:themeColor="text1"/>
        </w:rPr>
        <w:t>means</w:t>
      </w:r>
      <w:proofErr w:type="spellEnd"/>
      <w:r w:rsidRPr="009653FD">
        <w:rPr>
          <w:rFonts w:eastAsiaTheme="minorEastAsia"/>
          <w:color w:val="000000" w:themeColor="text1"/>
        </w:rPr>
        <w:t xml:space="preserve"> (seção 4.4). Esse procedimento assegura que as comparações de eficiência ocorram entre unidades de perfis produtivos semelhantes, evitando que setores altamente automatizados estabeleçam padrões inviáveis para segmentos intensivos em trabalho. Esse arranjo metodológico preserva a justiça comparativa e alinha a métrica de eficiência ao objetivo de política pública.</w:t>
      </w:r>
    </w:p>
    <w:p w14:paraId="179AE765" w14:textId="77777777" w:rsidR="00FF66E7" w:rsidRPr="00CD17A4" w:rsidRDefault="00FF66E7" w:rsidP="000E7EA2"/>
    <w:p w14:paraId="15A1AC25" w14:textId="1A1E6FF3" w:rsidR="009653FD" w:rsidRDefault="009653FD" w:rsidP="00E274EF">
      <w:pPr>
        <w:pStyle w:val="Ttulo2"/>
      </w:pPr>
      <w:bookmarkStart w:id="26" w:name="_Toc210058178"/>
      <w:r w:rsidRPr="009653FD">
        <w:t>ÍNDICE DE MALMQUIST: DINÂMICA INTERTEMPORAL DA PRODUTIVIDADE</w:t>
      </w:r>
      <w:bookmarkEnd w:id="26"/>
    </w:p>
    <w:p w14:paraId="54BB308A" w14:textId="77777777" w:rsidR="009653FD" w:rsidRPr="009653FD" w:rsidRDefault="009653FD" w:rsidP="009653FD"/>
    <w:p w14:paraId="5290470C" w14:textId="30359E1E" w:rsidR="009653FD" w:rsidRPr="00C26EE7" w:rsidRDefault="009653FD" w:rsidP="009653FD">
      <w:pPr>
        <w:ind w:firstLine="708"/>
        <w:rPr>
          <w:color w:val="000000" w:themeColor="text1"/>
        </w:rPr>
      </w:pPr>
      <w:r w:rsidRPr="009653FD">
        <w:rPr>
          <w:color w:val="000000" w:themeColor="text1"/>
        </w:rPr>
        <w:t xml:space="preserve">Embora o DEA forneça uma fotografia estática da eficiência relativa em cada ano, políticas de incentivos fiscais como a ZFM precisam ser avaliadas também em sua dimensão dinâmica. Para isso, adota-se o Índice de Produtividade Total dos Fatores (PTF) de </w:t>
      </w:r>
      <w:proofErr w:type="spellStart"/>
      <w:r w:rsidRPr="009653FD">
        <w:rPr>
          <w:color w:val="000000" w:themeColor="text1"/>
        </w:rPr>
        <w:t>Malmquist</w:t>
      </w:r>
      <w:proofErr w:type="spellEnd"/>
      <w:r w:rsidRPr="009653FD">
        <w:rPr>
          <w:color w:val="000000" w:themeColor="text1"/>
        </w:rPr>
        <w:t xml:space="preserve">, originalmente formulado por Caves, Christensen e </w:t>
      </w:r>
      <w:proofErr w:type="spellStart"/>
      <w:r w:rsidRPr="009653FD">
        <w:rPr>
          <w:color w:val="000000" w:themeColor="text1"/>
        </w:rPr>
        <w:t>Diewert</w:t>
      </w:r>
      <w:proofErr w:type="spellEnd"/>
      <w:r w:rsidRPr="009653FD">
        <w:rPr>
          <w:color w:val="000000" w:themeColor="text1"/>
        </w:rPr>
        <w:t xml:space="preserve"> (1982) e operacionalizado por </w:t>
      </w:r>
      <w:proofErr w:type="spellStart"/>
      <w:r w:rsidRPr="009653FD">
        <w:rPr>
          <w:color w:val="000000" w:themeColor="text1"/>
        </w:rPr>
        <w:t>Färe</w:t>
      </w:r>
      <w:proofErr w:type="spellEnd"/>
      <w:r w:rsidRPr="009653FD">
        <w:rPr>
          <w:color w:val="000000" w:themeColor="text1"/>
        </w:rPr>
        <w:t xml:space="preserve"> et al. (1994). Esse índice mede a variação da produtividade total entre dois períodos consecutivos, permitindo decompor ganhos ou perdas em compon</w:t>
      </w:r>
      <w:r w:rsidRPr="00C26EE7">
        <w:rPr>
          <w:color w:val="000000" w:themeColor="text1"/>
        </w:rPr>
        <w:t>entes de natureza distinta.</w:t>
      </w:r>
    </w:p>
    <w:p w14:paraId="419EECC4" w14:textId="58E463CC" w:rsidR="00E37A2C" w:rsidRDefault="009653FD" w:rsidP="00FF66E7">
      <w:pPr>
        <w:ind w:firstLine="708"/>
        <w:rPr>
          <w:rFonts w:eastAsiaTheme="minorEastAsia"/>
          <w:color w:val="000000" w:themeColor="text1"/>
        </w:rPr>
      </w:pPr>
      <w:r w:rsidRPr="00C26EE7">
        <w:rPr>
          <w:rFonts w:eastAsiaTheme="minorEastAsia"/>
          <w:color w:val="000000" w:themeColor="text1"/>
        </w:rPr>
        <w:t>Seja</w:t>
      </w:r>
      <w:r w:rsidR="00C910AA" w:rsidRPr="00C26EE7">
        <w:rPr>
          <w:rFonts w:eastAsiaTheme="minorEastAsia"/>
          <w:color w:val="000000" w:themeColor="text1"/>
        </w:rPr>
        <w:t xml:space="preserve"> </w:t>
      </w:r>
      <m:oMath>
        <m:r>
          <w:rPr>
            <w:rFonts w:ascii="Cambria Math" w:eastAsiaTheme="minorEastAsia" w:hAnsi="Cambria Math"/>
            <w:color w:val="000000" w:themeColor="text1"/>
          </w:rPr>
          <m:t>Dt</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x,y</m:t>
            </m:r>
          </m:e>
        </m:d>
      </m:oMath>
      <w:r w:rsidR="00C910AA" w:rsidRPr="00C26EE7">
        <w:rPr>
          <w:rFonts w:eastAsiaTheme="minorEastAsia"/>
          <w:color w:val="000000" w:themeColor="text1"/>
        </w:rPr>
        <w:t xml:space="preserve"> </w:t>
      </w:r>
      <w:r w:rsidRPr="00C26EE7">
        <w:rPr>
          <w:rFonts w:eastAsiaTheme="minorEastAsia"/>
          <w:color w:val="000000" w:themeColor="text1"/>
        </w:rPr>
        <w:t>a função distância orientada a outputs no período</w:t>
      </w:r>
      <w:r w:rsidR="00E37A2C" w:rsidRPr="00C26EE7">
        <w:rPr>
          <w:rFonts w:eastAsiaTheme="minorEastAsia"/>
          <w:color w:val="000000" w:themeColor="text1"/>
        </w:rPr>
        <w:t xml:space="preserve"> </w:t>
      </w:r>
      <m:oMath>
        <m:r>
          <w:rPr>
            <w:rFonts w:ascii="Cambria Math" w:eastAsiaTheme="minorEastAsia" w:hAnsi="Cambria Math"/>
            <w:color w:val="000000" w:themeColor="text1"/>
          </w:rPr>
          <m:t>t</m:t>
        </m:r>
      </m:oMath>
      <w:r w:rsidRPr="00C26EE7">
        <w:rPr>
          <w:rFonts w:eastAsiaTheme="minorEastAsia"/>
          <w:color w:val="000000" w:themeColor="text1"/>
        </w:rPr>
        <w:t>, que expressa o quão distante uma</w:t>
      </w:r>
      <w:r w:rsidRPr="009653FD">
        <w:rPr>
          <w:rFonts w:eastAsiaTheme="minorEastAsia"/>
          <w:color w:val="000000" w:themeColor="text1"/>
        </w:rPr>
        <w:t xml:space="preserve"> DMU </w:t>
      </w:r>
      <m:oMath>
        <m:d>
          <m:dPr>
            <m:ctrlPr>
              <w:rPr>
                <w:rFonts w:ascii="Cambria Math" w:eastAsiaTheme="minorEastAsia" w:hAnsi="Cambria Math"/>
                <w:b/>
                <w:i/>
                <w:color w:val="000000" w:themeColor="text1"/>
              </w:rPr>
            </m:ctrlPr>
          </m:dPr>
          <m:e>
            <m:r>
              <w:rPr>
                <w:rFonts w:ascii="Cambria Math" w:eastAsiaTheme="minorEastAsia" w:hAnsi="Cambria Math"/>
                <w:color w:val="000000" w:themeColor="text1"/>
              </w:rPr>
              <m:t>x,y</m:t>
            </m:r>
            <m:ctrlPr>
              <w:rPr>
                <w:rFonts w:ascii="Cambria Math" w:eastAsiaTheme="minorEastAsia" w:hAnsi="Cambria Math"/>
                <w:i/>
                <w:color w:val="000000" w:themeColor="text1"/>
              </w:rPr>
            </m:ctrlPr>
          </m:e>
        </m:d>
      </m:oMath>
      <w:r w:rsidR="00E37A2C">
        <w:rPr>
          <w:rFonts w:eastAsiaTheme="minorEastAsia"/>
          <w:color w:val="000000" w:themeColor="text1"/>
        </w:rPr>
        <w:t xml:space="preserve"> </w:t>
      </w:r>
      <w:r w:rsidRPr="009653FD">
        <w:rPr>
          <w:rFonts w:eastAsiaTheme="minorEastAsia"/>
          <w:color w:val="000000" w:themeColor="text1"/>
        </w:rPr>
        <w:t xml:space="preserve">está da fronteira tecnológica daquele ano. Para uma unidade </w:t>
      </w:r>
      <w:r w:rsidR="00E37A2C" w:rsidRPr="00E37A2C">
        <w:rPr>
          <w:rFonts w:ascii="Cambria Math" w:eastAsiaTheme="minorEastAsia" w:hAnsi="Cambria Math"/>
          <w:i/>
          <w:color w:val="000000" w:themeColor="text1"/>
        </w:rPr>
        <w:t>o</w:t>
      </w:r>
      <w:r w:rsidRPr="009653FD">
        <w:rPr>
          <w:rFonts w:eastAsiaTheme="minorEastAsia"/>
          <w:color w:val="000000" w:themeColor="text1"/>
        </w:rPr>
        <w:t xml:space="preserve">, com insumos </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o​</m:t>
            </m:r>
          </m:sub>
        </m:sSub>
      </m:oMath>
      <w:r w:rsidR="00E37A2C">
        <w:rPr>
          <w:rFonts w:eastAsiaTheme="minorEastAsia"/>
          <w:color w:val="000000" w:themeColor="text1"/>
        </w:rPr>
        <w:t xml:space="preserve"> </w:t>
      </w:r>
      <w:r w:rsidRPr="009653FD">
        <w:rPr>
          <w:rFonts w:eastAsiaTheme="minorEastAsia"/>
          <w:color w:val="000000" w:themeColor="text1"/>
        </w:rPr>
        <w:t xml:space="preserve">e outputs </w:t>
      </w:r>
      <m:oMath>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o​</m:t>
            </m:r>
          </m:sub>
        </m:sSub>
      </m:oMath>
      <w:r w:rsidR="00E37A2C">
        <w:rPr>
          <w:rFonts w:eastAsiaTheme="minorEastAsia"/>
          <w:color w:val="000000" w:themeColor="text1"/>
        </w:rPr>
        <w:t xml:space="preserve"> </w:t>
      </w:r>
      <w:r w:rsidRPr="009653FD">
        <w:rPr>
          <w:rFonts w:eastAsiaTheme="minorEastAsia"/>
          <w:color w:val="000000" w:themeColor="text1"/>
        </w:rPr>
        <w:t xml:space="preserve">o índice de </w:t>
      </w:r>
      <w:proofErr w:type="spellStart"/>
      <w:r w:rsidRPr="009653FD">
        <w:rPr>
          <w:rFonts w:eastAsiaTheme="minorEastAsia"/>
          <w:color w:val="000000" w:themeColor="text1"/>
        </w:rPr>
        <w:t>Malmquist</w:t>
      </w:r>
      <w:proofErr w:type="spellEnd"/>
      <w:r w:rsidRPr="009653FD">
        <w:rPr>
          <w:rFonts w:eastAsiaTheme="minorEastAsia"/>
          <w:color w:val="000000" w:themeColor="text1"/>
        </w:rPr>
        <w:t xml:space="preserve"> entre os períodos </w:t>
      </w:r>
      <m:oMath>
        <m:r>
          <w:rPr>
            <w:rFonts w:ascii="Cambria Math" w:eastAsiaTheme="minorEastAsia" w:hAnsi="Cambria Math"/>
            <w:color w:val="000000" w:themeColor="text1"/>
          </w:rPr>
          <m:t>t</m:t>
        </m:r>
      </m:oMath>
      <w:r w:rsidR="00E37A2C">
        <w:rPr>
          <w:rFonts w:eastAsiaTheme="minorEastAsia"/>
          <w:color w:val="000000" w:themeColor="text1"/>
        </w:rPr>
        <w:t xml:space="preserve"> e </w:t>
      </w:r>
      <m:oMath>
        <m:r>
          <w:rPr>
            <w:rFonts w:ascii="Cambria Math" w:eastAsiaTheme="minorEastAsia" w:hAnsi="Cambria Math"/>
            <w:color w:val="000000" w:themeColor="text1"/>
          </w:rPr>
          <m:t>t</m:t>
        </m:r>
        <m:r>
          <w:rPr>
            <w:rFonts w:ascii="Cambria Math" w:eastAsiaTheme="minorEastAsia" w:hAnsi="Cambria Math"/>
            <w:color w:val="000000" w:themeColor="text1"/>
          </w:rPr>
          <m:t>+1</m:t>
        </m:r>
      </m:oMath>
      <w:r w:rsidRPr="009653FD">
        <w:rPr>
          <w:rFonts w:eastAsiaTheme="minorEastAsia"/>
          <w:color w:val="000000" w:themeColor="text1"/>
        </w:rPr>
        <w:t xml:space="preserve"> é definido como:</w:t>
      </w:r>
    </w:p>
    <w:p w14:paraId="385DCBCE" w14:textId="077E6AFC" w:rsidR="00E278BD" w:rsidRDefault="00E278BD" w:rsidP="00E278BD">
      <w:pPr>
        <w:pStyle w:val="Legenda"/>
        <w:keepNext/>
      </w:pPr>
      <w:r>
        <w:fldChar w:fldCharType="begin"/>
      </w:r>
      <w:r>
        <w:instrText xml:space="preserve"> SEQ Equação \* ARABIC </w:instrText>
      </w:r>
      <w:r>
        <w:fldChar w:fldCharType="separate"/>
      </w:r>
      <w:r w:rsidR="00F7526F">
        <w:rPr>
          <w:noProof/>
        </w:rPr>
        <w:t>18</w:t>
      </w:r>
      <w:r>
        <w:fldChar w:fldCharType="end"/>
      </w:r>
    </w:p>
    <w:p w14:paraId="29F5CEA8" w14:textId="5006BD5F" w:rsidR="00E37A2C" w:rsidRDefault="00E37A2C" w:rsidP="00E37A2C">
      <w:pPr>
        <w:ind w:firstLine="708"/>
        <w:rPr>
          <w:rFonts w:eastAsiaTheme="minorEastAsia"/>
          <w:color w:val="000000" w:themeColor="text1"/>
        </w:rPr>
      </w:pPr>
      <m:oMathPara>
        <m:oMath>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M</m:t>
              </m:r>
            </m:e>
            <m:sub>
              <m:r>
                <w:rPr>
                  <w:rFonts w:ascii="Cambria Math" w:eastAsiaTheme="minorEastAsia" w:hAnsi="Cambria Math"/>
                  <w:color w:val="000000" w:themeColor="text1"/>
                </w:rPr>
                <m:t>o</m:t>
              </m:r>
            </m:sub>
            <m:sup>
              <m:r>
                <w:rPr>
                  <w:rFonts w:ascii="Cambria Math" w:eastAsiaTheme="minorEastAsia" w:hAnsi="Cambria Math"/>
                  <w:color w:val="000000" w:themeColor="text1"/>
                </w:rPr>
                <m:t>t,t+1​</m:t>
              </m:r>
            </m:sup>
          </m:sSubSup>
          <m:r>
            <w:rPr>
              <w:rFonts w:ascii="Cambria Math" w:eastAsiaTheme="minorEastAsia" w:hAnsi="Cambria Math"/>
              <w:color w:val="000000" w:themeColor="text1"/>
            </w:rPr>
            <m:t xml:space="preserve"> = </m:t>
          </m:r>
          <m:r>
            <w:rPr>
              <w:rFonts w:ascii="Cambria Math" w:eastAsiaTheme="minorEastAsia" w:hAnsi="Cambria Math"/>
              <w:color w:val="000000" w:themeColor="text1"/>
            </w:rPr>
            <m:t xml:space="preserve"> </m:t>
          </m:r>
          <m:limLow>
            <m:limLowPr>
              <m:ctrlPr>
                <w:rPr>
                  <w:rFonts w:ascii="Cambria Math" w:eastAsiaTheme="minorEastAsia" w:hAnsi="Cambria Math"/>
                  <w:i/>
                  <w:color w:val="000000" w:themeColor="text1"/>
                </w:rPr>
              </m:ctrlPr>
            </m:limLowPr>
            <m:e>
              <m:groupChr>
                <m:groupChrPr>
                  <m:ctrlPr>
                    <w:rPr>
                      <w:rFonts w:ascii="Cambria Math" w:eastAsiaTheme="minorEastAsia" w:hAnsi="Cambria Math"/>
                      <w:i/>
                      <w:color w:val="000000" w:themeColor="text1"/>
                    </w:rPr>
                  </m:ctrlPr>
                </m:groupChrPr>
                <m:e>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D</m:t>
                          </m:r>
                        </m:e>
                        <m:sup>
                          <m:r>
                            <m:rPr>
                              <m:sty m:val="bi"/>
                            </m:rPr>
                            <w:rPr>
                              <w:rFonts w:ascii="Cambria Math" w:eastAsiaTheme="minorEastAsia" w:hAnsi="Cambria Math"/>
                              <w:color w:val="000000" w:themeColor="text1"/>
                            </w:rPr>
                            <m:t>t</m:t>
                          </m:r>
                          <m:r>
                            <w:rPr>
                              <w:rFonts w:ascii="Cambria Math" w:eastAsiaTheme="minorEastAsia" w:hAnsi="Cambria Math"/>
                              <w:color w:val="000000" w:themeColor="text1"/>
                            </w:rPr>
                            <m:t>+</m:t>
                          </m:r>
                          <m:r>
                            <m:rPr>
                              <m:sty m:val="bi"/>
                            </m:rPr>
                            <w:rPr>
                              <w:rFonts w:ascii="Cambria Math" w:eastAsiaTheme="minorEastAsia" w:hAnsi="Cambria Math"/>
                              <w:color w:val="000000" w:themeColor="text1"/>
                            </w:rPr>
                            <m:t>1</m:t>
                          </m:r>
                        </m:sup>
                      </m:sSup>
                      <m:d>
                        <m:dPr>
                          <m:ctrlPr>
                            <w:rPr>
                              <w:rFonts w:ascii="Cambria Math" w:eastAsiaTheme="minorEastAsia" w:hAnsi="Cambria Math"/>
                              <w:i/>
                              <w:color w:val="000000" w:themeColor="text1"/>
                            </w:rPr>
                          </m:ctrlPr>
                        </m:dPr>
                        <m:e>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x</m:t>
                              </m:r>
                            </m:e>
                            <m:sub>
                              <m:r>
                                <w:rPr>
                                  <w:rFonts w:ascii="Cambria Math" w:eastAsiaTheme="minorEastAsia" w:hAnsi="Cambria Math"/>
                                  <w:color w:val="000000" w:themeColor="text1"/>
                                </w:rPr>
                                <m:t>o</m:t>
                              </m:r>
                            </m:sub>
                            <m:sup>
                              <m:r>
                                <m:rPr>
                                  <m:sty m:val="bi"/>
                                </m:rPr>
                                <w:rPr>
                                  <w:rFonts w:ascii="Cambria Math" w:eastAsiaTheme="minorEastAsia" w:hAnsi="Cambria Math"/>
                                  <w:color w:val="000000" w:themeColor="text1"/>
                                </w:rPr>
                                <m:t>t</m:t>
                              </m:r>
                              <m:r>
                                <w:rPr>
                                  <w:rFonts w:ascii="Cambria Math" w:eastAsiaTheme="minorEastAsia" w:hAnsi="Cambria Math"/>
                                  <w:color w:val="000000" w:themeColor="text1"/>
                                </w:rPr>
                                <m:t>+</m:t>
                              </m:r>
                              <m:r>
                                <m:rPr>
                                  <m:sty m:val="bi"/>
                                </m:rPr>
                                <w:rPr>
                                  <w:rFonts w:ascii="Cambria Math" w:eastAsiaTheme="minorEastAsia" w:hAnsi="Cambria Math"/>
                                  <w:color w:val="000000" w:themeColor="text1"/>
                                </w:rPr>
                                <m:t>1</m:t>
                              </m:r>
                            </m:sup>
                          </m:sSubSup>
                          <m:r>
                            <w:rPr>
                              <w:rFonts w:ascii="Cambria Math" w:eastAsiaTheme="minorEastAsia" w:hAnsi="Cambria Math"/>
                              <w:color w:val="000000" w:themeColor="text1"/>
                            </w:rPr>
                            <m:t>,</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y</m:t>
                              </m:r>
                            </m:e>
                            <m:sub>
                              <m:r>
                                <w:rPr>
                                  <w:rFonts w:ascii="Cambria Math" w:eastAsiaTheme="minorEastAsia" w:hAnsi="Cambria Math"/>
                                  <w:color w:val="000000" w:themeColor="text1"/>
                                </w:rPr>
                                <m:t>o</m:t>
                              </m:r>
                            </m:sub>
                            <m:sup>
                              <m:r>
                                <m:rPr>
                                  <m:sty m:val="bi"/>
                                </m:rPr>
                                <w:rPr>
                                  <w:rFonts w:ascii="Cambria Math" w:eastAsiaTheme="minorEastAsia" w:hAnsi="Cambria Math"/>
                                  <w:color w:val="000000" w:themeColor="text1"/>
                                </w:rPr>
                                <m:t>t</m:t>
                              </m:r>
                              <m:r>
                                <w:rPr>
                                  <w:rFonts w:ascii="Cambria Math" w:eastAsiaTheme="minorEastAsia" w:hAnsi="Cambria Math"/>
                                  <w:color w:val="000000" w:themeColor="text1"/>
                                </w:rPr>
                                <m:t>+</m:t>
                              </m:r>
                              <m:r>
                                <m:rPr>
                                  <m:sty m:val="bi"/>
                                </m:rPr>
                                <w:rPr>
                                  <w:rFonts w:ascii="Cambria Math" w:eastAsiaTheme="minorEastAsia" w:hAnsi="Cambria Math"/>
                                  <w:color w:val="000000" w:themeColor="text1"/>
                                </w:rPr>
                                <m:t>1</m:t>
                              </m:r>
                            </m:sup>
                          </m:sSubSup>
                        </m:e>
                      </m:d>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D</m:t>
                          </m:r>
                        </m:e>
                        <m:sup>
                          <m:r>
                            <m:rPr>
                              <m:sty m:val="bi"/>
                            </m:rPr>
                            <w:rPr>
                              <w:rFonts w:ascii="Cambria Math" w:eastAsiaTheme="minorEastAsia" w:hAnsi="Cambria Math"/>
                              <w:color w:val="000000" w:themeColor="text1"/>
                            </w:rPr>
                            <m:t>t</m:t>
                          </m:r>
                        </m:sup>
                      </m:sSup>
                      <m:d>
                        <m:dPr>
                          <m:ctrlPr>
                            <w:rPr>
                              <w:rFonts w:ascii="Cambria Math" w:eastAsiaTheme="minorEastAsia" w:hAnsi="Cambria Math"/>
                              <w:i/>
                              <w:color w:val="000000" w:themeColor="text1"/>
                            </w:rPr>
                          </m:ctrlPr>
                        </m:dPr>
                        <m:e>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x</m:t>
                              </m:r>
                            </m:e>
                            <m:sub>
                              <m:r>
                                <w:rPr>
                                  <w:rFonts w:ascii="Cambria Math" w:eastAsiaTheme="minorEastAsia" w:hAnsi="Cambria Math"/>
                                  <w:color w:val="000000" w:themeColor="text1"/>
                                </w:rPr>
                                <m:t>o</m:t>
                              </m:r>
                            </m:sub>
                            <m:sup>
                              <m:r>
                                <m:rPr>
                                  <m:sty m:val="bi"/>
                                </m:rPr>
                                <w:rPr>
                                  <w:rFonts w:ascii="Cambria Math" w:eastAsiaTheme="minorEastAsia" w:hAnsi="Cambria Math"/>
                                  <w:color w:val="000000" w:themeColor="text1"/>
                                </w:rPr>
                                <m:t>t</m:t>
                              </m:r>
                              <m:r>
                                <m:rPr>
                                  <m:sty m:val="bi"/>
                                </m:rPr>
                                <w:rPr>
                                  <w:rFonts w:ascii="Cambria Math" w:eastAsiaTheme="minorEastAsia" w:hAnsi="Cambria Math"/>
                                  <w:color w:val="000000" w:themeColor="text1"/>
                                </w:rPr>
                                <m:t>+1</m:t>
                              </m:r>
                            </m:sup>
                          </m:sSubSup>
                          <m:r>
                            <w:rPr>
                              <w:rFonts w:ascii="Cambria Math" w:eastAsiaTheme="minorEastAsia" w:hAnsi="Cambria Math"/>
                              <w:color w:val="000000" w:themeColor="text1"/>
                            </w:rPr>
                            <m:t>,</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y</m:t>
                              </m:r>
                            </m:e>
                            <m:sub>
                              <m:r>
                                <w:rPr>
                                  <w:rFonts w:ascii="Cambria Math" w:eastAsiaTheme="minorEastAsia" w:hAnsi="Cambria Math"/>
                                  <w:color w:val="000000" w:themeColor="text1"/>
                                </w:rPr>
                                <m:t>o</m:t>
                              </m:r>
                            </m:sub>
                            <m:sup>
                              <m:r>
                                <m:rPr>
                                  <m:sty m:val="bi"/>
                                </m:rPr>
                                <w:rPr>
                                  <w:rFonts w:ascii="Cambria Math" w:eastAsiaTheme="minorEastAsia" w:hAnsi="Cambria Math"/>
                                  <w:color w:val="000000" w:themeColor="text1"/>
                                </w:rPr>
                                <m:t>t</m:t>
                              </m:r>
                              <m:r>
                                <m:rPr>
                                  <m:sty m:val="bi"/>
                                </m:rPr>
                                <w:rPr>
                                  <w:rFonts w:ascii="Cambria Math" w:eastAsiaTheme="minorEastAsia" w:hAnsi="Cambria Math"/>
                                  <w:color w:val="000000" w:themeColor="text1"/>
                                </w:rPr>
                                <m:t>+1</m:t>
                              </m:r>
                            </m:sup>
                          </m:sSubSup>
                        </m:e>
                      </m:d>
                    </m:den>
                  </m:f>
                </m:e>
              </m:groupChr>
            </m:e>
            <m:lim>
              <m:eqArr>
                <m:eqArrPr>
                  <m:ctrlPr>
                    <w:rPr>
                      <w:rFonts w:ascii="Cambria Math" w:eastAsiaTheme="minorEastAsia" w:hAnsi="Cambria Math"/>
                      <w:i/>
                      <w:color w:val="000000" w:themeColor="text1"/>
                    </w:rPr>
                  </m:ctrlPr>
                </m:eqArrPr>
                <m:e>
                  <m:r>
                    <w:rPr>
                      <w:rFonts w:ascii="Cambria Math" w:eastAsiaTheme="minorEastAsia" w:hAnsi="Cambria Math"/>
                      <w:color w:val="000000" w:themeColor="text1"/>
                    </w:rPr>
                    <m:t>Mudança de eficiência técnica</m:t>
                  </m:r>
                </m:e>
                <m:e>
                  <m:r>
                    <w:rPr>
                      <w:rFonts w:ascii="Cambria Math" w:eastAsiaTheme="minorEastAsia" w:hAnsi="Cambria Math"/>
                      <w:color w:val="000000" w:themeColor="text1"/>
                    </w:rPr>
                    <m:t>(catch-up)</m:t>
                  </m:r>
                </m:e>
              </m:eqArr>
            </m:lim>
          </m:limLow>
          <m:r>
            <w:rPr>
              <w:rFonts w:ascii="Cambria Math" w:eastAsiaTheme="minorEastAsia" w:hAnsi="Cambria Math"/>
              <w:color w:val="000000" w:themeColor="text1"/>
            </w:rPr>
            <m:t xml:space="preserve">×  </m:t>
          </m:r>
          <m:limLow>
            <m:limLowPr>
              <m:ctrlPr>
                <w:rPr>
                  <w:rFonts w:ascii="Cambria Math" w:eastAsiaTheme="minorEastAsia" w:hAnsi="Cambria Math"/>
                  <w:i/>
                  <w:color w:val="000000" w:themeColor="text1"/>
                </w:rPr>
              </m:ctrlPr>
            </m:limLowPr>
            <m:e>
              <m:groupChr>
                <m:groupChrPr>
                  <m:ctrlPr>
                    <w:rPr>
                      <w:rFonts w:ascii="Cambria Math" w:eastAsiaTheme="minorEastAsia" w:hAnsi="Cambria Math"/>
                      <w:i/>
                      <w:color w:val="000000" w:themeColor="text1"/>
                    </w:rPr>
                  </m:ctrlPr>
                </m:groupChrPr>
                <m:e>
                  <m:sSup>
                    <m:sSupPr>
                      <m:ctrlPr>
                        <w:rPr>
                          <w:rFonts w:ascii="Cambria Math" w:eastAsiaTheme="minorEastAsia" w:hAnsi="Cambria Math"/>
                          <w:i/>
                          <w:color w:val="000000" w:themeColor="text1"/>
                        </w:rPr>
                      </m:ctrlPr>
                    </m:sSupPr>
                    <m:e>
                      <m:d>
                        <m:dPr>
                          <m:begChr m:val="["/>
                          <m:endChr m:val="]"/>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D</m:t>
                                  </m:r>
                                </m:e>
                                <m:sup>
                                  <m:r>
                                    <m:rPr>
                                      <m:sty m:val="bi"/>
                                    </m:rPr>
                                    <w:rPr>
                                      <w:rFonts w:ascii="Cambria Math" w:eastAsiaTheme="minorEastAsia" w:hAnsi="Cambria Math"/>
                                      <w:color w:val="000000" w:themeColor="text1"/>
                                    </w:rPr>
                                    <m:t>t</m:t>
                                  </m:r>
                                </m:sup>
                              </m:sSup>
                              <m:r>
                                <w:rPr>
                                  <w:rFonts w:ascii="Cambria Math" w:eastAsiaTheme="minorEastAsia" w:hAnsi="Cambria Math"/>
                                  <w:color w:val="000000" w:themeColor="text1"/>
                                </w:rPr>
                                <m:t>(</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x</m:t>
                                  </m:r>
                                </m:e>
                                <m:sub>
                                  <m:r>
                                    <w:rPr>
                                      <w:rFonts w:ascii="Cambria Math" w:eastAsiaTheme="minorEastAsia" w:hAnsi="Cambria Math"/>
                                      <w:color w:val="000000" w:themeColor="text1"/>
                                    </w:rPr>
                                    <m:t>o</m:t>
                                  </m:r>
                                </m:sub>
                                <m:sup>
                                  <m:r>
                                    <m:rPr>
                                      <m:sty m:val="bi"/>
                                    </m:rPr>
                                    <w:rPr>
                                      <w:rFonts w:ascii="Cambria Math" w:eastAsiaTheme="minorEastAsia" w:hAnsi="Cambria Math"/>
                                      <w:color w:val="000000" w:themeColor="text1"/>
                                    </w:rPr>
                                    <m:t>t</m:t>
                                  </m:r>
                                  <m:r>
                                    <m:rPr>
                                      <m:sty m:val="bi"/>
                                    </m:rPr>
                                    <w:rPr>
                                      <w:rFonts w:ascii="Cambria Math" w:eastAsiaTheme="minorEastAsia" w:hAnsi="Cambria Math"/>
                                      <w:color w:val="000000" w:themeColor="text1"/>
                                    </w:rPr>
                                    <m:t>+1</m:t>
                                  </m:r>
                                </m:sup>
                              </m:sSubSup>
                              <m:r>
                                <w:rPr>
                                  <w:rFonts w:ascii="Cambria Math" w:eastAsiaTheme="minorEastAsia" w:hAnsi="Cambria Math"/>
                                  <w:color w:val="000000" w:themeColor="text1"/>
                                </w:rPr>
                                <m:t xml:space="preserve">, </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y</m:t>
                                  </m:r>
                                </m:e>
                                <m:sub>
                                  <m:r>
                                    <w:rPr>
                                      <w:rFonts w:ascii="Cambria Math" w:eastAsiaTheme="minorEastAsia" w:hAnsi="Cambria Math"/>
                                      <w:color w:val="000000" w:themeColor="text1"/>
                                    </w:rPr>
                                    <m:t>o</m:t>
                                  </m:r>
                                </m:sub>
                                <m:sup>
                                  <m:r>
                                    <m:rPr>
                                      <m:sty m:val="bi"/>
                                    </m:rPr>
                                    <w:rPr>
                                      <w:rFonts w:ascii="Cambria Math" w:eastAsiaTheme="minorEastAsia" w:hAnsi="Cambria Math"/>
                                      <w:color w:val="000000" w:themeColor="text1"/>
                                    </w:rPr>
                                    <m:t>t</m:t>
                                  </m:r>
                                  <m:r>
                                    <m:rPr>
                                      <m:sty m:val="bi"/>
                                    </m:rPr>
                                    <w:rPr>
                                      <w:rFonts w:ascii="Cambria Math" w:eastAsiaTheme="minorEastAsia" w:hAnsi="Cambria Math"/>
                                      <w:color w:val="000000" w:themeColor="text1"/>
                                    </w:rPr>
                                    <m:t>+1</m:t>
                                  </m:r>
                                </m:sup>
                              </m:sSubSup>
                              <m:r>
                                <w:rPr>
                                  <w:rFonts w:ascii="Cambria Math" w:eastAsiaTheme="minorEastAsia" w:hAnsi="Cambria Math"/>
                                  <w:color w:val="000000" w:themeColor="text1"/>
                                </w:rPr>
                                <m:t>)</m:t>
                              </m:r>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D</m:t>
                                  </m:r>
                                </m:e>
                                <m:sup>
                                  <m:r>
                                    <m:rPr>
                                      <m:sty m:val="bi"/>
                                    </m:rPr>
                                    <w:rPr>
                                      <w:rFonts w:ascii="Cambria Math" w:eastAsiaTheme="minorEastAsia" w:hAnsi="Cambria Math"/>
                                      <w:color w:val="000000" w:themeColor="text1"/>
                                    </w:rPr>
                                    <m:t>t</m:t>
                                  </m:r>
                                  <m:r>
                                    <w:rPr>
                                      <w:rFonts w:ascii="Cambria Math" w:eastAsiaTheme="minorEastAsia" w:hAnsi="Cambria Math"/>
                                      <w:color w:val="000000" w:themeColor="text1"/>
                                    </w:rPr>
                                    <m:t>+</m:t>
                                  </m:r>
                                  <m:r>
                                    <m:rPr>
                                      <m:sty m:val="bi"/>
                                    </m:rPr>
                                    <w:rPr>
                                      <w:rFonts w:ascii="Cambria Math" w:eastAsiaTheme="minorEastAsia" w:hAnsi="Cambria Math"/>
                                      <w:color w:val="000000" w:themeColor="text1"/>
                                    </w:rPr>
                                    <m:t>1</m:t>
                                  </m:r>
                                </m:sup>
                              </m:sSup>
                              <m:r>
                                <w:rPr>
                                  <w:rFonts w:ascii="Cambria Math" w:eastAsiaTheme="minorEastAsia" w:hAnsi="Cambria Math"/>
                                  <w:color w:val="000000" w:themeColor="text1"/>
                                </w:rPr>
                                <m:t>(</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x</m:t>
                                  </m:r>
                                </m:e>
                                <m:sub>
                                  <m:r>
                                    <w:rPr>
                                      <w:rFonts w:ascii="Cambria Math" w:eastAsiaTheme="minorEastAsia" w:hAnsi="Cambria Math"/>
                                      <w:color w:val="000000" w:themeColor="text1"/>
                                    </w:rPr>
                                    <m:t>o</m:t>
                                  </m:r>
                                </m:sub>
                                <m:sup>
                                  <m:r>
                                    <m:rPr>
                                      <m:sty m:val="bi"/>
                                    </m:rPr>
                                    <w:rPr>
                                      <w:rFonts w:ascii="Cambria Math" w:eastAsiaTheme="minorEastAsia" w:hAnsi="Cambria Math"/>
                                      <w:color w:val="000000" w:themeColor="text1"/>
                                    </w:rPr>
                                    <m:t>t</m:t>
                                  </m:r>
                                  <m:r>
                                    <w:rPr>
                                      <w:rFonts w:ascii="Cambria Math" w:eastAsiaTheme="minorEastAsia" w:hAnsi="Cambria Math"/>
                                      <w:color w:val="000000" w:themeColor="text1"/>
                                    </w:rPr>
                                    <m:t>+</m:t>
                                  </m:r>
                                  <m:r>
                                    <m:rPr>
                                      <m:sty m:val="bi"/>
                                    </m:rPr>
                                    <w:rPr>
                                      <w:rFonts w:ascii="Cambria Math" w:eastAsiaTheme="minorEastAsia" w:hAnsi="Cambria Math"/>
                                      <w:color w:val="000000" w:themeColor="text1"/>
                                    </w:rPr>
                                    <m:t>1</m:t>
                                  </m:r>
                                </m:sup>
                              </m:sSubSup>
                              <m:r>
                                <w:rPr>
                                  <w:rFonts w:ascii="Cambria Math" w:eastAsiaTheme="minorEastAsia" w:hAnsi="Cambria Math"/>
                                  <w:color w:val="000000" w:themeColor="text1"/>
                                </w:rPr>
                                <m:t xml:space="preserve">, </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y</m:t>
                                  </m:r>
                                </m:e>
                                <m:sub>
                                  <m:r>
                                    <w:rPr>
                                      <w:rFonts w:ascii="Cambria Math" w:eastAsiaTheme="minorEastAsia" w:hAnsi="Cambria Math"/>
                                      <w:color w:val="000000" w:themeColor="text1"/>
                                    </w:rPr>
                                    <m:t>o</m:t>
                                  </m:r>
                                </m:sub>
                                <m:sup>
                                  <m:r>
                                    <m:rPr>
                                      <m:sty m:val="bi"/>
                                    </m:rPr>
                                    <w:rPr>
                                      <w:rFonts w:ascii="Cambria Math" w:eastAsiaTheme="minorEastAsia" w:hAnsi="Cambria Math"/>
                                      <w:color w:val="000000" w:themeColor="text1"/>
                                    </w:rPr>
                                    <m:t>t</m:t>
                                  </m:r>
                                  <m:r>
                                    <w:rPr>
                                      <w:rFonts w:ascii="Cambria Math" w:eastAsiaTheme="minorEastAsia" w:hAnsi="Cambria Math"/>
                                      <w:color w:val="000000" w:themeColor="text1"/>
                                    </w:rPr>
                                    <m:t>+</m:t>
                                  </m:r>
                                  <m:r>
                                    <m:rPr>
                                      <m:sty m:val="bi"/>
                                    </m:rPr>
                                    <w:rPr>
                                      <w:rFonts w:ascii="Cambria Math" w:eastAsiaTheme="minorEastAsia" w:hAnsi="Cambria Math"/>
                                      <w:color w:val="000000" w:themeColor="text1"/>
                                    </w:rPr>
                                    <m:t>1</m:t>
                                  </m:r>
                                </m:sup>
                              </m:sSubSup>
                              <m:r>
                                <w:rPr>
                                  <w:rFonts w:ascii="Cambria Math" w:eastAsiaTheme="minorEastAsia" w:hAnsi="Cambria Math"/>
                                  <w:color w:val="000000" w:themeColor="text1"/>
                                </w:rPr>
                                <m:t>)</m:t>
                              </m:r>
                            </m:den>
                          </m:f>
                          <m:r>
                            <w:rPr>
                              <w:rFonts w:ascii="Cambria Math" w:eastAsiaTheme="minorEastAsia" w:hAnsi="Cambria Math"/>
                              <w:color w:val="000000" w:themeColor="text1"/>
                            </w:rPr>
                            <m:t xml:space="preserve"> × </m:t>
                          </m:r>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D</m:t>
                                  </m:r>
                                </m:e>
                                <m:sup>
                                  <m:r>
                                    <m:rPr>
                                      <m:sty m:val="bi"/>
                                    </m:rPr>
                                    <w:rPr>
                                      <w:rFonts w:ascii="Cambria Math" w:eastAsiaTheme="minorEastAsia" w:hAnsi="Cambria Math"/>
                                      <w:color w:val="000000" w:themeColor="text1"/>
                                    </w:rPr>
                                    <m:t>t</m:t>
                                  </m:r>
                                </m:sup>
                              </m:sSup>
                              <m:r>
                                <w:rPr>
                                  <w:rFonts w:ascii="Cambria Math" w:eastAsiaTheme="minorEastAsia" w:hAnsi="Cambria Math"/>
                                  <w:color w:val="000000" w:themeColor="text1"/>
                                </w:rPr>
                                <m:t>(</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x</m:t>
                                  </m:r>
                                </m:e>
                                <m:sub>
                                  <m:r>
                                    <w:rPr>
                                      <w:rFonts w:ascii="Cambria Math" w:eastAsiaTheme="minorEastAsia" w:hAnsi="Cambria Math"/>
                                      <w:color w:val="000000" w:themeColor="text1"/>
                                    </w:rPr>
                                    <m:t>o</m:t>
                                  </m:r>
                                </m:sub>
                                <m:sup>
                                  <m:r>
                                    <m:rPr>
                                      <m:sty m:val="bi"/>
                                    </m:rPr>
                                    <w:rPr>
                                      <w:rFonts w:ascii="Cambria Math" w:eastAsiaTheme="minorEastAsia" w:hAnsi="Cambria Math"/>
                                      <w:color w:val="000000" w:themeColor="text1"/>
                                    </w:rPr>
                                    <m:t>t</m:t>
                                  </m:r>
                                </m:sup>
                              </m:sSubSup>
                              <m:r>
                                <w:rPr>
                                  <w:rFonts w:ascii="Cambria Math" w:eastAsiaTheme="minorEastAsia" w:hAnsi="Cambria Math"/>
                                  <w:color w:val="000000" w:themeColor="text1"/>
                                </w:rPr>
                                <m:t xml:space="preserve">, </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y</m:t>
                                  </m:r>
                                </m:e>
                                <m:sub>
                                  <m:r>
                                    <w:rPr>
                                      <w:rFonts w:ascii="Cambria Math" w:eastAsiaTheme="minorEastAsia" w:hAnsi="Cambria Math"/>
                                      <w:color w:val="000000" w:themeColor="text1"/>
                                    </w:rPr>
                                    <m:t>o</m:t>
                                  </m:r>
                                </m:sub>
                                <m:sup>
                                  <m:r>
                                    <m:rPr>
                                      <m:sty m:val="bi"/>
                                    </m:rPr>
                                    <w:rPr>
                                      <w:rFonts w:ascii="Cambria Math" w:eastAsiaTheme="minorEastAsia" w:hAnsi="Cambria Math"/>
                                      <w:color w:val="000000" w:themeColor="text1"/>
                                    </w:rPr>
                                    <m:t>t</m:t>
                                  </m:r>
                                </m:sup>
                              </m:sSubSup>
                              <m:r>
                                <w:rPr>
                                  <w:rFonts w:ascii="Cambria Math" w:eastAsiaTheme="minorEastAsia" w:hAnsi="Cambria Math"/>
                                  <w:color w:val="000000" w:themeColor="text1"/>
                                </w:rPr>
                                <m:t>)</m:t>
                              </m:r>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D</m:t>
                                  </m:r>
                                </m:e>
                                <m:sup>
                                  <m:r>
                                    <m:rPr>
                                      <m:sty m:val="bi"/>
                                    </m:rPr>
                                    <w:rPr>
                                      <w:rFonts w:ascii="Cambria Math" w:eastAsiaTheme="minorEastAsia" w:hAnsi="Cambria Math"/>
                                      <w:color w:val="000000" w:themeColor="text1"/>
                                    </w:rPr>
                                    <m:t>t</m:t>
                                  </m:r>
                                  <m:r>
                                    <w:rPr>
                                      <w:rFonts w:ascii="Cambria Math" w:eastAsiaTheme="minorEastAsia" w:hAnsi="Cambria Math"/>
                                      <w:color w:val="000000" w:themeColor="text1"/>
                                    </w:rPr>
                                    <m:t>+</m:t>
                                  </m:r>
                                  <m:r>
                                    <m:rPr>
                                      <m:sty m:val="bi"/>
                                    </m:rPr>
                                    <w:rPr>
                                      <w:rFonts w:ascii="Cambria Math" w:eastAsiaTheme="minorEastAsia" w:hAnsi="Cambria Math"/>
                                      <w:color w:val="000000" w:themeColor="text1"/>
                                    </w:rPr>
                                    <m:t>1</m:t>
                                  </m:r>
                                </m:sup>
                              </m:sSup>
                              <m:r>
                                <w:rPr>
                                  <w:rFonts w:ascii="Cambria Math" w:eastAsiaTheme="minorEastAsia" w:hAnsi="Cambria Math"/>
                                  <w:color w:val="000000" w:themeColor="text1"/>
                                </w:rPr>
                                <m:t>(</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x</m:t>
                                  </m:r>
                                </m:e>
                                <m:sub>
                                  <m:r>
                                    <w:rPr>
                                      <w:rFonts w:ascii="Cambria Math" w:eastAsiaTheme="minorEastAsia" w:hAnsi="Cambria Math"/>
                                      <w:color w:val="000000" w:themeColor="text1"/>
                                    </w:rPr>
                                    <m:t>o</m:t>
                                  </m:r>
                                </m:sub>
                                <m:sup>
                                  <m:r>
                                    <m:rPr>
                                      <m:sty m:val="bi"/>
                                    </m:rPr>
                                    <w:rPr>
                                      <w:rFonts w:ascii="Cambria Math" w:eastAsiaTheme="minorEastAsia" w:hAnsi="Cambria Math"/>
                                      <w:color w:val="000000" w:themeColor="text1"/>
                                    </w:rPr>
                                    <m:t>t</m:t>
                                  </m:r>
                                </m:sup>
                              </m:sSubSup>
                              <m:r>
                                <w:rPr>
                                  <w:rFonts w:ascii="Cambria Math" w:eastAsiaTheme="minorEastAsia" w:hAnsi="Cambria Math"/>
                                  <w:color w:val="000000" w:themeColor="text1"/>
                                </w:rPr>
                                <m:t xml:space="preserve">, </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y</m:t>
                                  </m:r>
                                </m:e>
                                <m:sub>
                                  <m:r>
                                    <w:rPr>
                                      <w:rFonts w:ascii="Cambria Math" w:eastAsiaTheme="minorEastAsia" w:hAnsi="Cambria Math"/>
                                      <w:color w:val="000000" w:themeColor="text1"/>
                                    </w:rPr>
                                    <m:t>o</m:t>
                                  </m:r>
                                </m:sub>
                                <m:sup>
                                  <m:r>
                                    <m:rPr>
                                      <m:sty m:val="bi"/>
                                    </m:rPr>
                                    <w:rPr>
                                      <w:rFonts w:ascii="Cambria Math" w:eastAsiaTheme="minorEastAsia" w:hAnsi="Cambria Math"/>
                                      <w:color w:val="000000" w:themeColor="text1"/>
                                    </w:rPr>
                                    <m:t>t</m:t>
                                  </m:r>
                                </m:sup>
                              </m:sSubSup>
                              <m:r>
                                <w:rPr>
                                  <w:rFonts w:ascii="Cambria Math" w:eastAsiaTheme="minorEastAsia" w:hAnsi="Cambria Math"/>
                                  <w:color w:val="000000" w:themeColor="text1"/>
                                </w:rPr>
                                <m:t>)</m:t>
                              </m:r>
                            </m:den>
                          </m:f>
                        </m:e>
                      </m:d>
                    </m:e>
                    <m:sup>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sup>
                  </m:sSup>
                </m:e>
              </m:groupChr>
            </m:e>
            <m:lim>
              <m:eqArr>
                <m:eqArrPr>
                  <m:ctrlPr>
                    <w:rPr>
                      <w:rFonts w:ascii="Cambria Math" w:eastAsiaTheme="minorEastAsia" w:hAnsi="Cambria Math"/>
                      <w:i/>
                      <w:color w:val="000000" w:themeColor="text1"/>
                    </w:rPr>
                  </m:ctrlPr>
                </m:eqArrPr>
                <m:e>
                  <m:r>
                    <w:rPr>
                      <w:rFonts w:ascii="Cambria Math" w:eastAsiaTheme="minorEastAsia" w:hAnsi="Cambria Math"/>
                      <w:color w:val="000000" w:themeColor="text1"/>
                    </w:rPr>
                    <m:t xml:space="preserve">Mudança tecnológica </m:t>
                  </m:r>
                </m:e>
                <m:e>
                  <m:r>
                    <w:rPr>
                      <w:rFonts w:ascii="Cambria Math" w:eastAsiaTheme="minorEastAsia" w:hAnsi="Cambria Math"/>
                      <w:color w:val="000000" w:themeColor="text1"/>
                    </w:rPr>
                    <m:t>(shift</m:t>
                  </m:r>
                  <m:r>
                    <w:rPr>
                      <w:rFonts w:ascii="Cambria Math" w:eastAsiaTheme="minorEastAsia" w:hAnsi="Cambria Math"/>
                      <w:color w:val="000000" w:themeColor="text1"/>
                    </w:rPr>
                    <m:t>)</m:t>
                  </m:r>
                </m:e>
              </m:eqArr>
            </m:lim>
          </m:limLow>
        </m:oMath>
      </m:oMathPara>
    </w:p>
    <w:p w14:paraId="214008D3" w14:textId="77777777" w:rsidR="00F406CD" w:rsidRPr="00E37A2C" w:rsidRDefault="00F406CD" w:rsidP="00EB5466">
      <w:pPr>
        <w:rPr>
          <w:rFonts w:eastAsiaTheme="minorEastAsia"/>
          <w:color w:val="000000" w:themeColor="text1"/>
        </w:rPr>
      </w:pPr>
    </w:p>
    <w:p w14:paraId="6B45EA77" w14:textId="11EA799C" w:rsidR="00F406CD" w:rsidRPr="00C26EE7" w:rsidRDefault="00E278BD" w:rsidP="00F406CD">
      <w:pPr>
        <w:pStyle w:val="PargrafodaLista"/>
        <w:numPr>
          <w:ilvl w:val="0"/>
          <w:numId w:val="28"/>
        </w:numPr>
        <w:rPr>
          <w:rFonts w:eastAsiaTheme="minorEastAsia"/>
          <w:color w:val="000000" w:themeColor="text1"/>
        </w:rPr>
      </w:pPr>
      <w:r w:rsidRPr="00C26EE7">
        <w:rPr>
          <w:rFonts w:eastAsiaTheme="minorEastAsia"/>
          <w:color w:val="000000" w:themeColor="text1"/>
        </w:rPr>
        <w:t>Mudança de eficiência técnica (catch-</w:t>
      </w:r>
      <w:proofErr w:type="spellStart"/>
      <w:r w:rsidRPr="00C26EE7">
        <w:rPr>
          <w:rFonts w:eastAsiaTheme="minorEastAsia"/>
          <w:color w:val="000000" w:themeColor="text1"/>
        </w:rPr>
        <w:t>up</w:t>
      </w:r>
      <w:proofErr w:type="spellEnd"/>
      <w:r w:rsidRPr="00C26EE7">
        <w:rPr>
          <w:rFonts w:eastAsiaTheme="minorEastAsia"/>
          <w:color w:val="000000" w:themeColor="text1"/>
        </w:rPr>
        <w:t>): mostra se a DMU se aproximou ou se afastou da fronteira eficiente ao longo do tempo, refletindo aprendizado, gestão e uso mais racional dos recursos.</w:t>
      </w:r>
    </w:p>
    <w:p w14:paraId="475A5DD0" w14:textId="537E7674" w:rsidR="00EB5466" w:rsidRPr="00EB5466" w:rsidRDefault="00E278BD" w:rsidP="00EB5466">
      <w:pPr>
        <w:pStyle w:val="PargrafodaLista"/>
        <w:numPr>
          <w:ilvl w:val="0"/>
          <w:numId w:val="28"/>
        </w:numPr>
        <w:rPr>
          <w:rFonts w:eastAsiaTheme="minorEastAsia"/>
          <w:color w:val="000000" w:themeColor="text1"/>
        </w:rPr>
      </w:pPr>
      <w:r w:rsidRPr="00C26EE7">
        <w:rPr>
          <w:rFonts w:eastAsiaTheme="minorEastAsia"/>
          <w:color w:val="000000" w:themeColor="text1"/>
        </w:rPr>
        <w:t>Mudança tecnológica (shift da fronteira): captura se a própria fronteira de produção se deslocou, indicando avanço ou retrocesso tecnológico no conjunto da indústria.</w:t>
      </w:r>
    </w:p>
    <w:p w14:paraId="21E9859A" w14:textId="0113A8E3" w:rsidR="00E278BD" w:rsidRPr="00E278BD" w:rsidRDefault="00E278BD" w:rsidP="000E7EA2">
      <w:pPr>
        <w:rPr>
          <w:rFonts w:eastAsiaTheme="minorEastAsia"/>
          <w:color w:val="000000" w:themeColor="text1"/>
        </w:rPr>
      </w:pPr>
      <w:r w:rsidRPr="00E278BD">
        <w:rPr>
          <w:rFonts w:eastAsiaTheme="minorEastAsia"/>
          <w:color w:val="000000" w:themeColor="text1"/>
        </w:rPr>
        <w:t xml:space="preserve">No presente estudo, o </w:t>
      </w:r>
      <w:proofErr w:type="spellStart"/>
      <w:r w:rsidRPr="00E278BD">
        <w:rPr>
          <w:rFonts w:eastAsiaTheme="minorEastAsia"/>
          <w:color w:val="000000" w:themeColor="text1"/>
        </w:rPr>
        <w:t>Malmquist</w:t>
      </w:r>
      <w:proofErr w:type="spellEnd"/>
      <w:r w:rsidRPr="00E278BD">
        <w:rPr>
          <w:rFonts w:eastAsiaTheme="minorEastAsia"/>
          <w:color w:val="000000" w:themeColor="text1"/>
        </w:rPr>
        <w:t xml:space="preserve"> será calculado separadamente dentro de cada cluster obtido na etapa anterior, de modo a avaliar se os perfis produtivos distintos exibem trajetórias convergentes ou divergentes no período 2018–2023. Essa decomposição permitirá responder se os ganhos observados derivam principalmente de melhorias internas de eficiência (empresas aprendendo a gerir melhor os incentivos) ou de avanços tecnológicos estruturais (movimento da fronteira em direção a maior produtividade).</w:t>
      </w:r>
    </w:p>
    <w:p w14:paraId="77DAB17D" w14:textId="55AA4C79" w:rsidR="00E278BD" w:rsidRDefault="00E278BD" w:rsidP="00E278BD">
      <w:pPr>
        <w:ind w:firstLine="708"/>
        <w:rPr>
          <w:rFonts w:eastAsiaTheme="minorEastAsia"/>
          <w:color w:val="000000" w:themeColor="text1"/>
        </w:rPr>
      </w:pPr>
      <w:r w:rsidRPr="00E278BD">
        <w:rPr>
          <w:rFonts w:eastAsiaTheme="minorEastAsia"/>
          <w:color w:val="000000" w:themeColor="text1"/>
        </w:rPr>
        <w:t xml:space="preserve">A interpretação desse índice tem implicações diretas para a política pública. </w:t>
      </w:r>
      <w:r w:rsidR="00EB5466">
        <w:rPr>
          <w:rFonts w:eastAsiaTheme="minorEastAsia"/>
          <w:color w:val="000000" w:themeColor="text1"/>
        </w:rPr>
        <w:t>Caso prevaleça</w:t>
      </w:r>
      <w:r w:rsidRPr="00E278BD">
        <w:rPr>
          <w:rFonts w:eastAsiaTheme="minorEastAsia"/>
          <w:color w:val="000000" w:themeColor="text1"/>
        </w:rPr>
        <w:t xml:space="preserve"> o efeito </w:t>
      </w:r>
      <w:r w:rsidRPr="00E278BD">
        <w:rPr>
          <w:rFonts w:eastAsiaTheme="minorEastAsia"/>
          <w:i/>
          <w:iCs/>
          <w:color w:val="000000" w:themeColor="text1"/>
        </w:rPr>
        <w:t>catch-</w:t>
      </w:r>
      <w:proofErr w:type="spellStart"/>
      <w:r w:rsidRPr="00E278BD">
        <w:rPr>
          <w:rFonts w:eastAsiaTheme="minorEastAsia"/>
          <w:i/>
          <w:iCs/>
          <w:color w:val="000000" w:themeColor="text1"/>
        </w:rPr>
        <w:t>up</w:t>
      </w:r>
      <w:proofErr w:type="spellEnd"/>
      <w:r w:rsidRPr="00E278BD">
        <w:rPr>
          <w:rFonts w:eastAsiaTheme="minorEastAsia"/>
          <w:color w:val="000000" w:themeColor="text1"/>
        </w:rPr>
        <w:t xml:space="preserve">, recomenda-se intensificar </w:t>
      </w:r>
      <w:r w:rsidR="00EB5466">
        <w:rPr>
          <w:rFonts w:eastAsiaTheme="minorEastAsia"/>
          <w:color w:val="000000" w:themeColor="text1"/>
        </w:rPr>
        <w:t>meios</w:t>
      </w:r>
      <w:r w:rsidRPr="00E278BD">
        <w:rPr>
          <w:rFonts w:eastAsiaTheme="minorEastAsia"/>
          <w:color w:val="000000" w:themeColor="text1"/>
        </w:rPr>
        <w:t xml:space="preserve"> de difusão de boas práticas e governança entre subsetores. Se o componente predominante for o </w:t>
      </w:r>
      <w:r w:rsidRPr="00E278BD">
        <w:rPr>
          <w:rFonts w:eastAsiaTheme="minorEastAsia"/>
          <w:i/>
          <w:iCs/>
          <w:color w:val="000000" w:themeColor="text1"/>
        </w:rPr>
        <w:t>shift tecnológico</w:t>
      </w:r>
      <w:r w:rsidRPr="00E278BD">
        <w:rPr>
          <w:rFonts w:eastAsiaTheme="minorEastAsia"/>
          <w:color w:val="000000" w:themeColor="text1"/>
        </w:rPr>
        <w:t xml:space="preserve">, o foco deve recair sobre políticas de inovação, P&amp;D e adensamento de cadeias. </w:t>
      </w:r>
    </w:p>
    <w:p w14:paraId="45B4096A" w14:textId="27A4C9B3" w:rsidR="00E278BD" w:rsidRDefault="00E278BD" w:rsidP="00E278BD">
      <w:pPr>
        <w:ind w:firstLine="708"/>
        <w:rPr>
          <w:rFonts w:eastAsiaTheme="minorEastAsia"/>
          <w:color w:val="000000" w:themeColor="text1"/>
        </w:rPr>
      </w:pPr>
      <w:r w:rsidRPr="00E278BD">
        <w:rPr>
          <w:rFonts w:eastAsiaTheme="minorEastAsia"/>
          <w:color w:val="000000" w:themeColor="text1"/>
        </w:rPr>
        <w:t xml:space="preserve">Dessa forma, o </w:t>
      </w:r>
      <w:proofErr w:type="spellStart"/>
      <w:r w:rsidRPr="00E278BD">
        <w:rPr>
          <w:rFonts w:eastAsiaTheme="minorEastAsia"/>
          <w:color w:val="000000" w:themeColor="text1"/>
        </w:rPr>
        <w:t>Malmquist</w:t>
      </w:r>
      <w:proofErr w:type="spellEnd"/>
      <w:r w:rsidRPr="00E278BD">
        <w:rPr>
          <w:rFonts w:eastAsiaTheme="minorEastAsia"/>
          <w:color w:val="000000" w:themeColor="text1"/>
        </w:rPr>
        <w:t xml:space="preserve"> adiciona uma dimensão temporal essencial ao diagnóstico de eficiência, permitindo calibrar contrapartidas e estratégias de incentivo à luz de trajetórias de médio prazo.</w:t>
      </w:r>
    </w:p>
    <w:p w14:paraId="2540A5C8" w14:textId="77777777" w:rsidR="00EB5466" w:rsidRPr="00E278BD" w:rsidRDefault="00EB5466" w:rsidP="00E278BD">
      <w:pPr>
        <w:ind w:firstLine="708"/>
        <w:rPr>
          <w:rFonts w:eastAsiaTheme="minorEastAsia"/>
          <w:color w:val="000000" w:themeColor="text1"/>
        </w:rPr>
      </w:pPr>
    </w:p>
    <w:p w14:paraId="0CA0DFBE" w14:textId="78ED8681" w:rsidR="00F406CD" w:rsidRDefault="00F406CD" w:rsidP="00F406CD">
      <w:pPr>
        <w:pStyle w:val="Ttulo2"/>
      </w:pPr>
      <w:bookmarkStart w:id="27" w:name="_Toc210058179"/>
      <w:r w:rsidRPr="00F406CD">
        <w:t>METAFRONTEIRA E COMPARABILIDADE ENTRE CLUSTERS</w:t>
      </w:r>
      <w:bookmarkEnd w:id="27"/>
    </w:p>
    <w:p w14:paraId="09F83F03" w14:textId="77777777" w:rsidR="00EB5466" w:rsidRPr="00EB5466" w:rsidRDefault="00EB5466" w:rsidP="00EB5466"/>
    <w:p w14:paraId="1972F3D0" w14:textId="77777777" w:rsidR="00F406CD" w:rsidRPr="00F406CD" w:rsidRDefault="00F406CD" w:rsidP="00F406CD">
      <w:pPr>
        <w:ind w:firstLine="708"/>
        <w:rPr>
          <w:color w:val="000000" w:themeColor="text1"/>
        </w:rPr>
      </w:pPr>
      <w:r w:rsidRPr="00F406CD">
        <w:rPr>
          <w:color w:val="000000" w:themeColor="text1"/>
        </w:rPr>
        <w:t xml:space="preserve">A estimação de eficiência relativa via DEA dentro de cada cluster assegura justiça comparativa, pois as fronteiras são construídas apenas entre unidades com perfis produtivos semelhantes. Contudo, essa estratégia gera uma limitação: escores calculados em fronteiras distintas não são diretamente comparáveis entre grupos. Para resolver esse problema, recorre-se ao arcabouço de </w:t>
      </w:r>
      <w:proofErr w:type="spellStart"/>
      <w:r w:rsidRPr="00F406CD">
        <w:rPr>
          <w:color w:val="000000" w:themeColor="text1"/>
        </w:rPr>
        <w:t>metafronteira</w:t>
      </w:r>
      <w:proofErr w:type="spellEnd"/>
      <w:r w:rsidRPr="00F406CD">
        <w:rPr>
          <w:color w:val="000000" w:themeColor="text1"/>
        </w:rPr>
        <w:t xml:space="preserve"> e ao conceito de </w:t>
      </w:r>
      <w:proofErr w:type="spellStart"/>
      <w:r w:rsidRPr="00F406CD">
        <w:rPr>
          <w:color w:val="000000" w:themeColor="text1"/>
        </w:rPr>
        <w:t>technology</w:t>
      </w:r>
      <w:proofErr w:type="spellEnd"/>
      <w:r w:rsidRPr="00F406CD">
        <w:rPr>
          <w:color w:val="000000" w:themeColor="text1"/>
        </w:rPr>
        <w:t xml:space="preserve">-gap </w:t>
      </w:r>
      <w:proofErr w:type="spellStart"/>
      <w:r w:rsidRPr="00F406CD">
        <w:rPr>
          <w:color w:val="000000" w:themeColor="text1"/>
        </w:rPr>
        <w:t>ratio</w:t>
      </w:r>
      <w:proofErr w:type="spellEnd"/>
      <w:r w:rsidRPr="00F406CD">
        <w:rPr>
          <w:color w:val="000000" w:themeColor="text1"/>
        </w:rPr>
        <w:t xml:space="preserve"> (TGR), desenvolvido por </w:t>
      </w:r>
      <w:proofErr w:type="spellStart"/>
      <w:r w:rsidRPr="00F406CD">
        <w:rPr>
          <w:color w:val="000000" w:themeColor="text1"/>
        </w:rPr>
        <w:t>Battese</w:t>
      </w:r>
      <w:proofErr w:type="spellEnd"/>
      <w:r w:rsidRPr="00F406CD">
        <w:rPr>
          <w:color w:val="000000" w:themeColor="text1"/>
        </w:rPr>
        <w:t xml:space="preserve">, Rao e O’Donnell (2004) e expandido em O’Donnell, Rao e </w:t>
      </w:r>
      <w:proofErr w:type="spellStart"/>
      <w:r w:rsidRPr="00F406CD">
        <w:rPr>
          <w:color w:val="000000" w:themeColor="text1"/>
        </w:rPr>
        <w:t>Battese</w:t>
      </w:r>
      <w:proofErr w:type="spellEnd"/>
      <w:r w:rsidRPr="00F406CD">
        <w:rPr>
          <w:color w:val="000000" w:themeColor="text1"/>
        </w:rPr>
        <w:t xml:space="preserve"> (2008).</w:t>
      </w:r>
    </w:p>
    <w:p w14:paraId="6FC54B69" w14:textId="77777777" w:rsidR="00EB5466" w:rsidRDefault="00F406CD" w:rsidP="00EB5466">
      <w:pPr>
        <w:ind w:firstLine="708"/>
        <w:rPr>
          <w:color w:val="000000" w:themeColor="text1"/>
        </w:rPr>
      </w:pPr>
      <w:r w:rsidRPr="00F406CD">
        <w:rPr>
          <w:color w:val="000000" w:themeColor="text1"/>
        </w:rPr>
        <w:t xml:space="preserve">A </w:t>
      </w:r>
      <w:proofErr w:type="spellStart"/>
      <w:r w:rsidRPr="00F406CD">
        <w:rPr>
          <w:color w:val="000000" w:themeColor="text1"/>
        </w:rPr>
        <w:t>metafronteira</w:t>
      </w:r>
      <w:proofErr w:type="spellEnd"/>
      <w:r w:rsidRPr="00F406CD">
        <w:rPr>
          <w:color w:val="000000" w:themeColor="text1"/>
        </w:rPr>
        <w:t xml:space="preserve"> é uma fronteira “global” que envolve todas as tecnologias observadas nos clusters. Assim, cada DMU é avaliada em relação:</w:t>
      </w:r>
    </w:p>
    <w:p w14:paraId="11DFE964" w14:textId="56096A3B" w:rsidR="00EB5466" w:rsidRPr="00EB5466" w:rsidRDefault="00F406CD" w:rsidP="00EB5466">
      <w:pPr>
        <w:pStyle w:val="PargrafodaLista"/>
        <w:numPr>
          <w:ilvl w:val="1"/>
          <w:numId w:val="29"/>
        </w:numPr>
        <w:rPr>
          <w:color w:val="000000" w:themeColor="text1"/>
        </w:rPr>
      </w:pPr>
      <w:r w:rsidRPr="00EB5466">
        <w:rPr>
          <w:color w:val="000000" w:themeColor="text1"/>
        </w:rPr>
        <w:t xml:space="preserve">à sua fronteira de grupo, composta por unidades </w:t>
      </w:r>
      <w:proofErr w:type="gramStart"/>
      <w:r w:rsidRPr="00EB5466">
        <w:rPr>
          <w:color w:val="000000" w:themeColor="text1"/>
        </w:rPr>
        <w:t>do mesmo</w:t>
      </w:r>
      <w:proofErr w:type="gramEnd"/>
      <w:r w:rsidRPr="00EB5466">
        <w:rPr>
          <w:color w:val="000000" w:themeColor="text1"/>
        </w:rPr>
        <w:t xml:space="preserve"> cluster, e</w:t>
      </w:r>
    </w:p>
    <w:p w14:paraId="4703E495" w14:textId="7FCD539D" w:rsidR="00F406CD" w:rsidRDefault="00F406CD" w:rsidP="00F406CD">
      <w:pPr>
        <w:pStyle w:val="PargrafodaLista"/>
        <w:numPr>
          <w:ilvl w:val="1"/>
          <w:numId w:val="29"/>
        </w:numPr>
        <w:rPr>
          <w:color w:val="000000" w:themeColor="text1"/>
        </w:rPr>
      </w:pPr>
      <w:r w:rsidRPr="00EB5466">
        <w:rPr>
          <w:color w:val="000000" w:themeColor="text1"/>
        </w:rPr>
        <w:t>(</w:t>
      </w:r>
      <w:proofErr w:type="spellStart"/>
      <w:r w:rsidRPr="00EB5466">
        <w:rPr>
          <w:color w:val="000000" w:themeColor="text1"/>
        </w:rPr>
        <w:t>ii</w:t>
      </w:r>
      <w:proofErr w:type="spellEnd"/>
      <w:r w:rsidRPr="00EB5466">
        <w:rPr>
          <w:color w:val="000000" w:themeColor="text1"/>
        </w:rPr>
        <w:t xml:space="preserve">) à </w:t>
      </w:r>
      <w:proofErr w:type="spellStart"/>
      <w:r w:rsidRPr="00EB5466">
        <w:rPr>
          <w:color w:val="000000" w:themeColor="text1"/>
        </w:rPr>
        <w:t>metafronteira</w:t>
      </w:r>
      <w:proofErr w:type="spellEnd"/>
      <w:r w:rsidRPr="00EB5466">
        <w:rPr>
          <w:color w:val="000000" w:themeColor="text1"/>
        </w:rPr>
        <w:t xml:space="preserve">, composta por todas as </w:t>
      </w:r>
      <w:proofErr w:type="spellStart"/>
      <w:r w:rsidRPr="00EB5466">
        <w:rPr>
          <w:color w:val="000000" w:themeColor="text1"/>
        </w:rPr>
        <w:t>DMUs</w:t>
      </w:r>
      <w:proofErr w:type="spellEnd"/>
      <w:r w:rsidRPr="00EB5466">
        <w:rPr>
          <w:color w:val="000000" w:themeColor="text1"/>
        </w:rPr>
        <w:t xml:space="preserve"> do conjunto.</w:t>
      </w:r>
    </w:p>
    <w:p w14:paraId="412C9186" w14:textId="77777777" w:rsidR="00EB5466" w:rsidRPr="00EB5466" w:rsidRDefault="00EB5466" w:rsidP="00EB5466">
      <w:pPr>
        <w:pStyle w:val="PargrafodaLista"/>
        <w:ind w:left="1800"/>
        <w:rPr>
          <w:color w:val="000000" w:themeColor="text1"/>
        </w:rPr>
      </w:pPr>
    </w:p>
    <w:p w14:paraId="0D61CBA8" w14:textId="2301DDC8" w:rsidR="00F406CD" w:rsidRDefault="00F406CD" w:rsidP="00FF66E7">
      <w:pPr>
        <w:rPr>
          <w:color w:val="000000" w:themeColor="text1"/>
        </w:rPr>
      </w:pPr>
      <w:r w:rsidRPr="00F406CD">
        <w:rPr>
          <w:color w:val="000000" w:themeColor="text1"/>
        </w:rPr>
        <w:t xml:space="preserve">O TGR expressa a razão entre a eficiência de uma DMU em sua fronteira de grupo e a eficiência da mesma unidade em relação à </w:t>
      </w:r>
      <w:proofErr w:type="spellStart"/>
      <w:r w:rsidRPr="00F406CD">
        <w:rPr>
          <w:color w:val="000000" w:themeColor="text1"/>
        </w:rPr>
        <w:t>metafronteira</w:t>
      </w:r>
      <w:proofErr w:type="spellEnd"/>
      <w:r w:rsidRPr="00F406CD">
        <w:rPr>
          <w:color w:val="000000" w:themeColor="text1"/>
        </w:rPr>
        <w:t xml:space="preserve">. Formalmente, para uma unidade </w:t>
      </w:r>
      <m:oMath>
        <m:r>
          <w:rPr>
            <w:rFonts w:ascii="Cambria Math" w:hAnsi="Cambria Math"/>
            <w:color w:val="000000" w:themeColor="text1"/>
          </w:rPr>
          <m:t>o</m:t>
        </m:r>
      </m:oMath>
      <w:r>
        <w:rPr>
          <w:rFonts w:ascii="Cambria Math" w:hAnsi="Cambria Math"/>
          <w:i/>
          <w:color w:val="000000" w:themeColor="text1"/>
        </w:rPr>
        <w:t xml:space="preserve"> </w:t>
      </w:r>
      <w:r w:rsidRPr="00F406CD">
        <w:rPr>
          <w:color w:val="000000" w:themeColor="text1"/>
        </w:rPr>
        <w:t>no grupo</w:t>
      </w:r>
      <m:oMath>
        <m:r>
          <w:rPr>
            <w:rFonts w:ascii="Cambria Math" w:hAnsi="Cambria Math"/>
            <w:color w:val="000000" w:themeColor="text1"/>
          </w:rPr>
          <m:t>g</m:t>
        </m:r>
      </m:oMath>
      <w:r w:rsidRPr="00F406CD">
        <w:rPr>
          <w:color w:val="000000" w:themeColor="text1"/>
        </w:rPr>
        <w:t>:</w:t>
      </w:r>
    </w:p>
    <w:p w14:paraId="2E90C3B6" w14:textId="0962E9FE" w:rsidR="00F406CD" w:rsidRDefault="00F406CD" w:rsidP="00F406CD">
      <w:pPr>
        <w:pStyle w:val="Legenda"/>
        <w:keepNext/>
      </w:pPr>
      <w:r>
        <w:fldChar w:fldCharType="begin"/>
      </w:r>
      <w:r>
        <w:instrText xml:space="preserve"> SEQ Equação \* ARABIC </w:instrText>
      </w:r>
      <w:r>
        <w:fldChar w:fldCharType="separate"/>
      </w:r>
      <w:r w:rsidR="00F7526F">
        <w:rPr>
          <w:noProof/>
        </w:rPr>
        <w:t>19</w:t>
      </w:r>
      <w:r>
        <w:fldChar w:fldCharType="end"/>
      </w:r>
    </w:p>
    <w:p w14:paraId="605928ED" w14:textId="56D420F9" w:rsidR="00F406CD" w:rsidRPr="00FF66E7" w:rsidRDefault="00F406CD" w:rsidP="00FF66E7">
      <w:pPr>
        <w:ind w:firstLine="708"/>
        <w:rPr>
          <w:rFonts w:eastAsiaTheme="minorEastAsia"/>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TGR</m:t>
              </m:r>
            </m:e>
            <m:sub>
              <m:r>
                <w:rPr>
                  <w:rFonts w:ascii="Cambria Math" w:hAnsi="Cambria Math"/>
                  <w:color w:val="000000" w:themeColor="text1"/>
                </w:rPr>
                <m:t>o</m:t>
              </m:r>
            </m:sub>
            <m:sup>
              <m:r>
                <w:rPr>
                  <w:rFonts w:ascii="Cambria Math" w:hAnsi="Cambria Math"/>
                  <w:color w:val="000000" w:themeColor="text1"/>
                </w:rPr>
                <m:t>g</m:t>
              </m:r>
            </m:sup>
          </m:sSubSup>
          <m:r>
            <w:rPr>
              <w:rFonts w:ascii="Cambria Math" w:hAnsi="Cambria Math"/>
              <w:color w:val="000000" w:themeColor="text1"/>
            </w:rPr>
            <m:t xml:space="preserve"> = </m:t>
          </m:r>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D</m:t>
                  </m:r>
                </m:e>
                <m:sup>
                  <m:r>
                    <w:rPr>
                      <w:rFonts w:ascii="Cambria Math" w:hAnsi="Cambria Math"/>
                      <w:color w:val="000000" w:themeColor="text1"/>
                    </w:rPr>
                    <m:t>g</m:t>
                  </m:r>
                </m:sup>
              </m:s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o</m:t>
                  </m:r>
                </m:sub>
              </m:sSub>
              <m:r>
                <w:rPr>
                  <w:rFonts w:ascii="Cambria Math" w:eastAsiaTheme="minorEastAsia"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o</m:t>
                  </m:r>
                </m:sub>
              </m:sSub>
              <m:r>
                <w:rPr>
                  <w:rFonts w:ascii="Cambria Math" w:hAnsi="Cambria Math"/>
                  <w:color w:val="000000" w:themeColor="text1"/>
                </w:rPr>
                <m:t>)</m:t>
              </m:r>
            </m:num>
            <m:den>
              <m:sSup>
                <m:sSupPr>
                  <m:ctrlPr>
                    <w:rPr>
                      <w:rFonts w:ascii="Cambria Math" w:hAnsi="Cambria Math"/>
                      <w:i/>
                      <w:color w:val="000000" w:themeColor="text1"/>
                    </w:rPr>
                  </m:ctrlPr>
                </m:sSupPr>
                <m:e>
                  <m:r>
                    <w:rPr>
                      <w:rFonts w:ascii="Cambria Math" w:hAnsi="Cambria Math"/>
                      <w:color w:val="000000" w:themeColor="text1"/>
                    </w:rPr>
                    <m:t>D</m:t>
                  </m:r>
                </m:e>
                <m:sup>
                  <m:r>
                    <w:rPr>
                      <w:rFonts w:ascii="Cambria Math" w:hAnsi="Cambria Math"/>
                      <w:color w:val="000000" w:themeColor="text1"/>
                    </w:rPr>
                    <m:t>M</m:t>
                  </m:r>
                </m:sup>
              </m:s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o</m:t>
                  </m:r>
                </m:sub>
              </m:sSub>
              <m:r>
                <w:rPr>
                  <w:rFonts w:ascii="Cambria Math" w:eastAsiaTheme="minorEastAsia"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o</m:t>
                  </m:r>
                </m:sub>
              </m:sSub>
              <m:r>
                <w:rPr>
                  <w:rFonts w:ascii="Cambria Math" w:hAnsi="Cambria Math"/>
                  <w:color w:val="000000" w:themeColor="text1"/>
                </w:rPr>
                <m:t>)</m:t>
              </m:r>
            </m:den>
          </m:f>
          <m:r>
            <w:rPr>
              <w:rFonts w:ascii="Cambria Math" w:hAnsi="Cambria Math"/>
              <w:color w:val="000000" w:themeColor="text1"/>
            </w:rPr>
            <m:t xml:space="preserve"> </m:t>
          </m:r>
        </m:oMath>
      </m:oMathPara>
    </w:p>
    <w:p w14:paraId="0ECE0A1F" w14:textId="77777777" w:rsidR="00FF66E7" w:rsidRPr="00F406CD" w:rsidRDefault="00FF66E7" w:rsidP="00FF66E7">
      <w:pPr>
        <w:ind w:firstLine="708"/>
        <w:rPr>
          <w:rFonts w:eastAsiaTheme="minorEastAsia"/>
          <w:color w:val="000000" w:themeColor="text1"/>
        </w:rPr>
      </w:pPr>
    </w:p>
    <w:p w14:paraId="5D5B89B3" w14:textId="77777777" w:rsidR="00F406CD" w:rsidRDefault="00F406CD" w:rsidP="00F406CD">
      <w:pPr>
        <w:rPr>
          <w:rFonts w:eastAsiaTheme="minorEastAsia"/>
          <w:color w:val="000000" w:themeColor="text1"/>
        </w:rPr>
      </w:pPr>
      <w:r w:rsidRPr="00F406CD">
        <w:rPr>
          <w:color w:val="000000" w:themeColor="text1"/>
        </w:rPr>
        <w:t>em que</w:t>
      </w:r>
      <w:r>
        <w:rPr>
          <w:color w:val="000000" w:themeColor="text1"/>
        </w:rPr>
        <w:t xml:space="preserve"> </w:t>
      </w:r>
      <m:oMath>
        <m:sSup>
          <m:sSupPr>
            <m:ctrlPr>
              <w:rPr>
                <w:rFonts w:ascii="Cambria Math" w:hAnsi="Cambria Math"/>
                <w:i/>
                <w:color w:val="000000" w:themeColor="text1"/>
              </w:rPr>
            </m:ctrlPr>
          </m:sSupPr>
          <m:e>
            <m:r>
              <w:rPr>
                <w:rFonts w:ascii="Cambria Math" w:hAnsi="Cambria Math"/>
                <w:color w:val="000000" w:themeColor="text1"/>
              </w:rPr>
              <m:t>D</m:t>
            </m:r>
          </m:e>
          <m:sup>
            <m:r>
              <w:rPr>
                <w:rFonts w:ascii="Cambria Math" w:hAnsi="Cambria Math"/>
                <w:color w:val="000000" w:themeColor="text1"/>
              </w:rPr>
              <m:t>g</m:t>
            </m:r>
          </m:sup>
        </m:s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o</m:t>
            </m:r>
          </m:sub>
        </m:sSub>
        <m:r>
          <w:rPr>
            <w:rFonts w:ascii="Cambria Math" w:eastAsiaTheme="minorEastAsia"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o</m:t>
            </m:r>
          </m:sub>
        </m:sSub>
        <m:r>
          <w:rPr>
            <w:rFonts w:ascii="Cambria Math" w:hAnsi="Cambria Math"/>
            <w:color w:val="000000" w:themeColor="text1"/>
          </w:rPr>
          <m:t>)</m:t>
        </m:r>
      </m:oMath>
      <w:r>
        <w:rPr>
          <w:rFonts w:eastAsiaTheme="minorEastAsia"/>
          <w:color w:val="000000" w:themeColor="text1"/>
        </w:rPr>
        <w:t xml:space="preserve"> </w:t>
      </w:r>
      <w:r w:rsidRPr="00F406CD">
        <w:rPr>
          <w:rFonts w:eastAsiaTheme="minorEastAsia"/>
          <w:color w:val="000000" w:themeColor="text1"/>
        </w:rPr>
        <w:t>é a função distância da fronteira do grupo</w:t>
      </w:r>
      <w:r>
        <w:rPr>
          <w:rFonts w:eastAsiaTheme="minorEastAsia"/>
          <w:color w:val="000000" w:themeColor="text1"/>
        </w:rPr>
        <w:t xml:space="preserve"> </w:t>
      </w:r>
      <m:oMath>
        <m:r>
          <w:rPr>
            <w:rFonts w:ascii="Cambria Math" w:hAnsi="Cambria Math"/>
            <w:color w:val="000000" w:themeColor="text1"/>
          </w:rPr>
          <m:t>g</m:t>
        </m:r>
      </m:oMath>
      <w:r>
        <w:rPr>
          <w:rFonts w:eastAsiaTheme="minorEastAsia"/>
          <w:color w:val="000000" w:themeColor="text1"/>
        </w:rPr>
        <w:t xml:space="preserve">, e </w:t>
      </w:r>
      <m:oMath>
        <m:sSup>
          <m:sSupPr>
            <m:ctrlPr>
              <w:rPr>
                <w:rFonts w:ascii="Cambria Math" w:hAnsi="Cambria Math"/>
                <w:i/>
                <w:color w:val="000000" w:themeColor="text1"/>
              </w:rPr>
            </m:ctrlPr>
          </m:sSupPr>
          <m:e>
            <m:r>
              <w:rPr>
                <w:rFonts w:ascii="Cambria Math" w:hAnsi="Cambria Math"/>
                <w:color w:val="000000" w:themeColor="text1"/>
              </w:rPr>
              <m:t>D</m:t>
            </m:r>
          </m:e>
          <m:sup>
            <m:r>
              <w:rPr>
                <w:rFonts w:ascii="Cambria Math" w:hAnsi="Cambria Math"/>
                <w:color w:val="000000" w:themeColor="text1"/>
              </w:rPr>
              <m:t>M</m:t>
            </m:r>
          </m:sup>
        </m:s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o</m:t>
            </m:r>
          </m:sub>
        </m:sSub>
        <m:r>
          <w:rPr>
            <w:rFonts w:ascii="Cambria Math" w:eastAsiaTheme="minorEastAsia"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o</m:t>
            </m:r>
          </m:sub>
        </m:sSub>
        <m:r>
          <w:rPr>
            <w:rFonts w:ascii="Cambria Math" w:hAnsi="Cambria Math"/>
            <w:color w:val="000000" w:themeColor="text1"/>
          </w:rPr>
          <m:t>)</m:t>
        </m:r>
      </m:oMath>
      <w:r>
        <w:rPr>
          <w:rFonts w:eastAsiaTheme="minorEastAsia"/>
          <w:color w:val="000000" w:themeColor="text1"/>
        </w:rPr>
        <w:t xml:space="preserve"> </w:t>
      </w:r>
      <w:r w:rsidRPr="00F406CD">
        <w:rPr>
          <w:rFonts w:eastAsiaTheme="minorEastAsia"/>
          <w:color w:val="000000" w:themeColor="text1"/>
        </w:rPr>
        <w:t xml:space="preserve">é a função distância da </w:t>
      </w:r>
      <w:proofErr w:type="spellStart"/>
      <w:r w:rsidRPr="00F406CD">
        <w:rPr>
          <w:rFonts w:eastAsiaTheme="minorEastAsia"/>
          <w:color w:val="000000" w:themeColor="text1"/>
        </w:rPr>
        <w:t>metafronteira</w:t>
      </w:r>
      <w:proofErr w:type="spellEnd"/>
      <w:r w:rsidRPr="00F406CD">
        <w:rPr>
          <w:rFonts w:eastAsiaTheme="minorEastAsia"/>
          <w:color w:val="000000" w:themeColor="text1"/>
        </w:rPr>
        <w:t>. O valor do TGR varia entre 0 e 1:</w:t>
      </w:r>
    </w:p>
    <w:p w14:paraId="73B788E1" w14:textId="77777777" w:rsidR="00F406CD" w:rsidRPr="00F406CD" w:rsidRDefault="00F406CD" w:rsidP="00F406CD">
      <w:pPr>
        <w:rPr>
          <w:rFonts w:eastAsiaTheme="minorEastAsia"/>
          <w:color w:val="000000" w:themeColor="text1"/>
        </w:rPr>
      </w:pPr>
    </w:p>
    <w:p w14:paraId="021A33F1" w14:textId="2B583FC3" w:rsidR="00F406CD" w:rsidRPr="00F406CD" w:rsidRDefault="00F406CD" w:rsidP="00F406CD">
      <w:pPr>
        <w:numPr>
          <w:ilvl w:val="0"/>
          <w:numId w:val="31"/>
        </w:numPr>
        <w:rPr>
          <w:rFonts w:eastAsiaTheme="minorEastAsia"/>
          <w:color w:val="000000" w:themeColor="text1"/>
        </w:rPr>
      </w:pPr>
      <w:r w:rsidRPr="00F406CD">
        <w:rPr>
          <w:rFonts w:eastAsiaTheme="minorEastAsia"/>
          <w:color w:val="000000" w:themeColor="text1"/>
        </w:rPr>
        <w:t>TGR=1TGR = 1TGR=1: indica que a tecnologia do grupo está alinhada à fronteira global.</w:t>
      </w:r>
    </w:p>
    <w:p w14:paraId="4D55ECDC" w14:textId="46B670AC" w:rsidR="00F406CD" w:rsidRDefault="00F406CD" w:rsidP="00F406CD">
      <w:pPr>
        <w:numPr>
          <w:ilvl w:val="0"/>
          <w:numId w:val="31"/>
        </w:numPr>
        <w:rPr>
          <w:rFonts w:eastAsiaTheme="minorEastAsia"/>
          <w:color w:val="000000" w:themeColor="text1"/>
        </w:rPr>
      </w:pPr>
      <w:r w:rsidRPr="00F406CD">
        <w:rPr>
          <w:rFonts w:eastAsiaTheme="minorEastAsia"/>
          <w:color w:val="000000" w:themeColor="text1"/>
        </w:rPr>
        <w:t>TGR&lt;1TGR &lt; 1TGR&lt;1: indica um gap tecnológico: mesmo operando de forma eficiente dentro do cluster, a DMU não alcança o desempenho máximo possível em termos globais.</w:t>
      </w:r>
    </w:p>
    <w:p w14:paraId="67F9251B" w14:textId="77777777" w:rsidR="00F406CD" w:rsidRPr="00F406CD" w:rsidRDefault="00F406CD" w:rsidP="00F406CD">
      <w:pPr>
        <w:ind w:left="720"/>
        <w:rPr>
          <w:rFonts w:eastAsiaTheme="minorEastAsia"/>
          <w:color w:val="000000" w:themeColor="text1"/>
        </w:rPr>
      </w:pPr>
    </w:p>
    <w:p w14:paraId="76CBB60B" w14:textId="77777777" w:rsidR="00F406CD" w:rsidRPr="00F406CD" w:rsidRDefault="00F406CD" w:rsidP="00F406CD">
      <w:pPr>
        <w:rPr>
          <w:rFonts w:eastAsiaTheme="minorEastAsia"/>
          <w:color w:val="000000" w:themeColor="text1"/>
        </w:rPr>
      </w:pPr>
      <w:r w:rsidRPr="00F406CD">
        <w:rPr>
          <w:rFonts w:eastAsiaTheme="minorEastAsia"/>
          <w:color w:val="000000" w:themeColor="text1"/>
        </w:rPr>
        <w:t>Esse aparato é crucial no presente trabalho, pois permite distinguir dois tipos de limitações:</w:t>
      </w:r>
    </w:p>
    <w:p w14:paraId="0013C567" w14:textId="77777777" w:rsidR="00F406CD" w:rsidRPr="00F406CD" w:rsidRDefault="00F406CD" w:rsidP="00F406CD">
      <w:pPr>
        <w:numPr>
          <w:ilvl w:val="0"/>
          <w:numId w:val="32"/>
        </w:numPr>
        <w:rPr>
          <w:rFonts w:eastAsiaTheme="minorEastAsia"/>
          <w:color w:val="000000" w:themeColor="text1"/>
        </w:rPr>
      </w:pPr>
      <w:r w:rsidRPr="00F406CD">
        <w:rPr>
          <w:rFonts w:eastAsiaTheme="minorEastAsia"/>
          <w:color w:val="000000" w:themeColor="text1"/>
        </w:rPr>
        <w:t>Ineficiência gerencial ou de escala: quando a unidade está abaixo da sua própria fronteira de grupo, ou seja, há espaço para melhorias internas sem mudança tecnológica.</w:t>
      </w:r>
    </w:p>
    <w:p w14:paraId="0F1E270B" w14:textId="3A986BDC" w:rsidR="00F406CD" w:rsidRPr="00F406CD" w:rsidRDefault="00F406CD" w:rsidP="00D16D85">
      <w:pPr>
        <w:numPr>
          <w:ilvl w:val="0"/>
          <w:numId w:val="32"/>
        </w:numPr>
        <w:rPr>
          <w:rFonts w:eastAsiaTheme="minorEastAsia"/>
          <w:color w:val="000000" w:themeColor="text1"/>
        </w:rPr>
      </w:pPr>
      <w:r w:rsidRPr="00F406CD">
        <w:rPr>
          <w:rFonts w:eastAsiaTheme="minorEastAsia"/>
          <w:color w:val="000000" w:themeColor="text1"/>
        </w:rPr>
        <w:t xml:space="preserve">Gap tecnológico entre clusters: quando a fronteira do grupo está deslocada em relação à </w:t>
      </w:r>
      <w:proofErr w:type="spellStart"/>
      <w:r w:rsidRPr="00F406CD">
        <w:rPr>
          <w:rFonts w:eastAsiaTheme="minorEastAsia"/>
          <w:color w:val="000000" w:themeColor="text1"/>
        </w:rPr>
        <w:t>metafronteira</w:t>
      </w:r>
      <w:proofErr w:type="spellEnd"/>
      <w:r w:rsidRPr="00F406CD">
        <w:rPr>
          <w:rFonts w:eastAsiaTheme="minorEastAsia"/>
          <w:color w:val="000000" w:themeColor="text1"/>
        </w:rPr>
        <w:t>, sugerindo limitações estruturais de tecnologia, capital ou capacidade de inovação.</w:t>
      </w:r>
    </w:p>
    <w:p w14:paraId="257EC088" w14:textId="046E9FE8" w:rsidR="00F406CD" w:rsidRDefault="00F406CD" w:rsidP="00D16D85">
      <w:pPr>
        <w:ind w:firstLine="708"/>
        <w:rPr>
          <w:rFonts w:eastAsiaTheme="minorEastAsia"/>
          <w:color w:val="000000" w:themeColor="text1"/>
        </w:rPr>
      </w:pPr>
      <w:r w:rsidRPr="00F406CD">
        <w:rPr>
          <w:rFonts w:eastAsiaTheme="minorEastAsia"/>
          <w:color w:val="000000" w:themeColor="text1"/>
        </w:rPr>
        <w:t xml:space="preserve">Dessa forma, a análise integrada de DEA por cluster e </w:t>
      </w:r>
      <w:proofErr w:type="spellStart"/>
      <w:r w:rsidRPr="00F406CD">
        <w:rPr>
          <w:rFonts w:eastAsiaTheme="minorEastAsia"/>
          <w:color w:val="000000" w:themeColor="text1"/>
        </w:rPr>
        <w:t>metafronteira</w:t>
      </w:r>
      <w:proofErr w:type="spellEnd"/>
      <w:r w:rsidRPr="00F406CD">
        <w:rPr>
          <w:rFonts w:eastAsiaTheme="minorEastAsia"/>
          <w:color w:val="000000" w:themeColor="text1"/>
        </w:rPr>
        <w:t xml:space="preserve"> fornece um diagnóstico de dupla camada: eficiência relativa dentro do grupo (justiça comparativa) e distância tecnológica entre grupos (lacuna estrutural). Esse arranjo é particularmente relevante para políticas públicas </w:t>
      </w:r>
      <w:proofErr w:type="spellStart"/>
      <w:r w:rsidRPr="00F406CD">
        <w:rPr>
          <w:rFonts w:eastAsiaTheme="minorEastAsia"/>
          <w:color w:val="000000" w:themeColor="text1"/>
        </w:rPr>
        <w:t>place-based</w:t>
      </w:r>
      <w:proofErr w:type="spellEnd"/>
      <w:r w:rsidRPr="00F406CD">
        <w:rPr>
          <w:rFonts w:eastAsiaTheme="minorEastAsia"/>
          <w:color w:val="000000" w:themeColor="text1"/>
        </w:rPr>
        <w:t>, pois indica quais setores demandam:</w:t>
      </w:r>
    </w:p>
    <w:p w14:paraId="16354021" w14:textId="77777777" w:rsidR="00D16D85" w:rsidRPr="00F406CD" w:rsidRDefault="00D16D85" w:rsidP="00D16D85">
      <w:pPr>
        <w:ind w:firstLine="708"/>
        <w:rPr>
          <w:rFonts w:eastAsiaTheme="minorEastAsia"/>
          <w:color w:val="000000" w:themeColor="text1"/>
        </w:rPr>
      </w:pPr>
    </w:p>
    <w:p w14:paraId="04EC6364" w14:textId="44E0657D" w:rsidR="00F406CD" w:rsidRPr="00F406CD" w:rsidRDefault="00F406CD" w:rsidP="00F406CD">
      <w:pPr>
        <w:numPr>
          <w:ilvl w:val="0"/>
          <w:numId w:val="33"/>
        </w:numPr>
        <w:rPr>
          <w:rFonts w:eastAsiaTheme="minorEastAsia"/>
          <w:color w:val="000000" w:themeColor="text1"/>
        </w:rPr>
      </w:pPr>
      <w:r>
        <w:rPr>
          <w:rFonts w:eastAsiaTheme="minorEastAsia"/>
          <w:color w:val="000000" w:themeColor="text1"/>
        </w:rPr>
        <w:t>d</w:t>
      </w:r>
      <w:r w:rsidRPr="00F406CD">
        <w:rPr>
          <w:rFonts w:eastAsiaTheme="minorEastAsia"/>
          <w:color w:val="000000" w:themeColor="text1"/>
        </w:rPr>
        <w:t>ifusão de boas práticas gerenciais (quando a ineficiência é interna ao cluster);</w:t>
      </w:r>
    </w:p>
    <w:p w14:paraId="7BADA7D9" w14:textId="77777777" w:rsidR="00F406CD" w:rsidRPr="00F406CD" w:rsidRDefault="00F406CD" w:rsidP="00F406CD">
      <w:pPr>
        <w:numPr>
          <w:ilvl w:val="0"/>
          <w:numId w:val="33"/>
        </w:numPr>
        <w:rPr>
          <w:rFonts w:eastAsiaTheme="minorEastAsia"/>
          <w:color w:val="000000" w:themeColor="text1"/>
        </w:rPr>
      </w:pPr>
      <w:r w:rsidRPr="00F406CD">
        <w:rPr>
          <w:rFonts w:eastAsiaTheme="minorEastAsia"/>
          <w:color w:val="000000" w:themeColor="text1"/>
        </w:rPr>
        <w:t>apoio à expansão de escala (quando há desajuste de porte); ou</w:t>
      </w:r>
    </w:p>
    <w:p w14:paraId="40C6C767" w14:textId="2479C071" w:rsidR="00F406CD" w:rsidRDefault="00F406CD" w:rsidP="00F406CD">
      <w:pPr>
        <w:numPr>
          <w:ilvl w:val="0"/>
          <w:numId w:val="33"/>
        </w:numPr>
        <w:rPr>
          <w:rFonts w:eastAsiaTheme="minorEastAsia"/>
          <w:color w:val="000000" w:themeColor="text1"/>
        </w:rPr>
      </w:pPr>
      <w:r w:rsidRPr="00F406CD">
        <w:rPr>
          <w:rFonts w:eastAsiaTheme="minorEastAsia"/>
          <w:color w:val="000000" w:themeColor="text1"/>
        </w:rPr>
        <w:t xml:space="preserve">políticas tecnológicas e de inovação (quando o problema é o gap em relação à </w:t>
      </w:r>
      <w:proofErr w:type="spellStart"/>
      <w:r w:rsidRPr="00F406CD">
        <w:rPr>
          <w:rFonts w:eastAsiaTheme="minorEastAsia"/>
          <w:color w:val="000000" w:themeColor="text1"/>
        </w:rPr>
        <w:t>metafronteira</w:t>
      </w:r>
      <w:proofErr w:type="spellEnd"/>
      <w:r w:rsidRPr="00F406CD">
        <w:rPr>
          <w:rFonts w:eastAsiaTheme="minorEastAsia"/>
          <w:color w:val="000000" w:themeColor="text1"/>
        </w:rPr>
        <w:t>).</w:t>
      </w:r>
    </w:p>
    <w:p w14:paraId="222BBC80" w14:textId="77777777" w:rsidR="00D16D85" w:rsidRPr="00D16D85" w:rsidRDefault="00D16D85" w:rsidP="00D16D85">
      <w:pPr>
        <w:ind w:left="720"/>
        <w:rPr>
          <w:rFonts w:eastAsiaTheme="minorEastAsia"/>
          <w:color w:val="000000" w:themeColor="text1"/>
        </w:rPr>
      </w:pPr>
    </w:p>
    <w:p w14:paraId="68F132E5" w14:textId="26B53C3F" w:rsidR="006A67F3" w:rsidRPr="00FF66E7" w:rsidRDefault="00F406CD" w:rsidP="006A67F3">
      <w:pPr>
        <w:rPr>
          <w:rFonts w:eastAsiaTheme="minorEastAsia"/>
          <w:color w:val="000000" w:themeColor="text1"/>
        </w:rPr>
      </w:pPr>
      <w:r w:rsidRPr="00F406CD">
        <w:rPr>
          <w:rFonts w:eastAsiaTheme="minorEastAsia"/>
          <w:color w:val="000000" w:themeColor="text1"/>
        </w:rPr>
        <w:t xml:space="preserve">No caso da ZFM, a incorporação do TGR torna possível avaliar, por exemplo, se clusters intensivos em trabalho são eficientes em seus próprios termos, mas operam em uma tecnologia global atrasada, enquanto clusters de alta automação aproximam-se da </w:t>
      </w:r>
      <w:proofErr w:type="spellStart"/>
      <w:r w:rsidRPr="00F406CD">
        <w:rPr>
          <w:rFonts w:eastAsiaTheme="minorEastAsia"/>
          <w:color w:val="000000" w:themeColor="text1"/>
        </w:rPr>
        <w:t>metafronteira</w:t>
      </w:r>
      <w:proofErr w:type="spellEnd"/>
      <w:r w:rsidRPr="00F406CD">
        <w:rPr>
          <w:rFonts w:eastAsiaTheme="minorEastAsia"/>
          <w:color w:val="000000" w:themeColor="text1"/>
        </w:rPr>
        <w:t>. Esse diagnóstico enriquece a leitura sobre a alocação de incentivos e orienta decisões de política industrial mais segmentadas.</w:t>
      </w:r>
    </w:p>
    <w:p w14:paraId="0B56AE84" w14:textId="77777777" w:rsidR="006A67F3" w:rsidRPr="00C84827" w:rsidRDefault="006A67F3" w:rsidP="00B14852">
      <w:pPr>
        <w:ind w:firstLine="708"/>
        <w:rPr>
          <w:color w:val="000000" w:themeColor="text1"/>
        </w:rPr>
      </w:pPr>
    </w:p>
    <w:p w14:paraId="2FBC7705" w14:textId="42AA9DC5" w:rsidR="00F406CD" w:rsidRDefault="00F406CD" w:rsidP="00F406CD">
      <w:pPr>
        <w:pStyle w:val="Ttulo2"/>
      </w:pPr>
      <w:bookmarkStart w:id="28" w:name="_Toc210058180"/>
      <w:r w:rsidRPr="00F406CD">
        <w:t>SEGUNDA ETAPA DE INFERÊNCIA: DETERMINANTES DA EFICIÊNCIA</w:t>
      </w:r>
      <w:bookmarkEnd w:id="28"/>
    </w:p>
    <w:p w14:paraId="6C2ED2B4" w14:textId="77777777" w:rsidR="00F406CD" w:rsidRPr="00F406CD" w:rsidRDefault="00F406CD" w:rsidP="00F406CD"/>
    <w:p w14:paraId="4E1526DA" w14:textId="323F7BE4" w:rsidR="00F406CD" w:rsidRPr="00F406CD" w:rsidRDefault="00F406CD" w:rsidP="00F406CD">
      <w:pPr>
        <w:ind w:firstLine="708"/>
        <w:rPr>
          <w:color w:val="000000" w:themeColor="text1"/>
        </w:rPr>
      </w:pPr>
      <w:r w:rsidRPr="00F406CD">
        <w:rPr>
          <w:color w:val="000000" w:themeColor="text1"/>
        </w:rPr>
        <w:t>A mensuração de eficiência relativa por DEA gera escores</w:t>
      </w:r>
      <m:oMath>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i,t</m:t>
            </m:r>
          </m:sub>
        </m:sSub>
        <m:r>
          <w:rPr>
            <w:rFonts w:ascii="Cambria Math" w:hAnsi="Cambria Math"/>
            <w:color w:val="000000" w:themeColor="text1"/>
          </w:rPr>
          <m:t xml:space="preserve"> </m:t>
        </m:r>
      </m:oMath>
      <w:r w:rsidRPr="00F406CD">
        <w:rPr>
          <w:color w:val="000000" w:themeColor="text1"/>
        </w:rPr>
        <w:t>que variam entre 0 e 1 e refletem quão bem cada subsetor transforma incentivos fiscais em valor adicionado e empregos. Contudo, por si só esses escores não respondem quais fatores estruturais explicam diferenças sistemáticas de eficiência. Para avançar, adota-se uma segunda etapa de inferência, em que os escores servem como variável dependente em regressões apropriadas, controlando para a natureza truncada e otimizada desses índices.</w:t>
      </w:r>
    </w:p>
    <w:p w14:paraId="1C805236" w14:textId="77777777" w:rsidR="00F406CD" w:rsidRPr="00F406CD" w:rsidRDefault="00F406CD" w:rsidP="00F406CD">
      <w:pPr>
        <w:ind w:firstLine="708"/>
        <w:rPr>
          <w:color w:val="000000" w:themeColor="text1"/>
        </w:rPr>
      </w:pPr>
      <w:r w:rsidRPr="00F406CD">
        <w:rPr>
          <w:color w:val="000000" w:themeColor="text1"/>
        </w:rPr>
        <w:t>A literatura consolidada (</w:t>
      </w:r>
      <w:proofErr w:type="spellStart"/>
      <w:r w:rsidRPr="00F406CD">
        <w:rPr>
          <w:color w:val="000000" w:themeColor="text1"/>
        </w:rPr>
        <w:t>Simar</w:t>
      </w:r>
      <w:proofErr w:type="spellEnd"/>
      <w:r w:rsidRPr="00F406CD">
        <w:rPr>
          <w:color w:val="000000" w:themeColor="text1"/>
        </w:rPr>
        <w:t xml:space="preserve">; Wilson, 2007) demonstra que regressões lineares tradicionais são inadequadas, pois ignoram a distribuição limitada dos escores e a correlação induzida pelo processo de otimização. A alternativa recomendada é o modelo de regressão truncado com </w:t>
      </w:r>
      <w:proofErr w:type="spellStart"/>
      <w:r w:rsidRPr="00F406CD">
        <w:rPr>
          <w:color w:val="000000" w:themeColor="text1"/>
        </w:rPr>
        <w:t>bootstrap</w:t>
      </w:r>
      <w:proofErr w:type="spellEnd"/>
      <w:r w:rsidRPr="00F406CD">
        <w:rPr>
          <w:color w:val="000000" w:themeColor="text1"/>
        </w:rPr>
        <w:t>, que combina (i) estimação de máxima verossimilhança em regressão censurada/truncada e (</w:t>
      </w:r>
      <w:proofErr w:type="spellStart"/>
      <w:r w:rsidRPr="00F406CD">
        <w:rPr>
          <w:color w:val="000000" w:themeColor="text1"/>
        </w:rPr>
        <w:t>ii</w:t>
      </w:r>
      <w:proofErr w:type="spellEnd"/>
      <w:r w:rsidRPr="00F406CD">
        <w:rPr>
          <w:color w:val="000000" w:themeColor="text1"/>
        </w:rPr>
        <w:t xml:space="preserve">) </w:t>
      </w:r>
      <w:proofErr w:type="spellStart"/>
      <w:r w:rsidRPr="00F406CD">
        <w:rPr>
          <w:color w:val="000000" w:themeColor="text1"/>
        </w:rPr>
        <w:t>reamostragem</w:t>
      </w:r>
      <w:proofErr w:type="spellEnd"/>
      <w:r w:rsidRPr="00F406CD">
        <w:rPr>
          <w:color w:val="000000" w:themeColor="text1"/>
        </w:rPr>
        <w:t xml:space="preserve"> </w:t>
      </w:r>
      <w:proofErr w:type="spellStart"/>
      <w:r w:rsidRPr="00F406CD">
        <w:rPr>
          <w:color w:val="000000" w:themeColor="text1"/>
        </w:rPr>
        <w:t>bootstrap</w:t>
      </w:r>
      <w:proofErr w:type="spellEnd"/>
      <w:r w:rsidRPr="00F406CD">
        <w:rPr>
          <w:color w:val="000000" w:themeColor="text1"/>
        </w:rPr>
        <w:t xml:space="preserve"> para corrigir viés e obter intervalos de confiança robustos.</w:t>
      </w:r>
    </w:p>
    <w:p w14:paraId="15EFB327" w14:textId="7476B44A" w:rsidR="00D446D6" w:rsidRPr="008D754B" w:rsidRDefault="00F406CD" w:rsidP="008D754B">
      <w:pPr>
        <w:ind w:firstLine="708"/>
        <w:rPr>
          <w:color w:val="000000" w:themeColor="text1"/>
        </w:rPr>
      </w:pPr>
      <w:r w:rsidRPr="00F406CD">
        <w:rPr>
          <w:color w:val="000000" w:themeColor="text1"/>
        </w:rPr>
        <w:t xml:space="preserve">Seja </w:t>
      </w:r>
      <m:oMath>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i,t</m:t>
            </m:r>
          </m:sub>
        </m:sSub>
        <m:r>
          <w:rPr>
            <w:rFonts w:ascii="Cambria Math" w:hAnsi="Cambria Math"/>
            <w:color w:val="000000" w:themeColor="text1"/>
          </w:rPr>
          <m:t xml:space="preserve"> </m:t>
        </m:r>
      </m:oMath>
      <w:r w:rsidRPr="00F406CD">
        <w:rPr>
          <w:color w:val="000000" w:themeColor="text1"/>
        </w:rPr>
        <w:t xml:space="preserve">o escore de eficiência do subsetor </w:t>
      </w:r>
      <m:oMath>
        <m:r>
          <w:rPr>
            <w:rFonts w:ascii="Cambria Math" w:hAnsi="Cambria Math"/>
            <w:color w:val="000000" w:themeColor="text1"/>
          </w:rPr>
          <m:t>i</m:t>
        </m:r>
      </m:oMath>
      <w:r w:rsidRPr="00F406CD">
        <w:rPr>
          <w:color w:val="000000" w:themeColor="text1"/>
        </w:rPr>
        <w:t xml:space="preserve"> no ano </w:t>
      </w:r>
      <m:oMath>
        <m:r>
          <w:rPr>
            <w:rFonts w:ascii="Cambria Math" w:hAnsi="Cambria Math"/>
            <w:color w:val="000000" w:themeColor="text1"/>
          </w:rPr>
          <m:t>,t</m:t>
        </m:r>
      </m:oMath>
      <w:r w:rsidRPr="00F406CD">
        <w:rPr>
          <w:color w:val="000000" w:themeColor="text1"/>
        </w:rPr>
        <w:t>. A especificação geral é:</w:t>
      </w:r>
    </w:p>
    <w:p w14:paraId="0DF4DEAC" w14:textId="1AA09937" w:rsidR="008D754B" w:rsidRDefault="008D754B" w:rsidP="008D754B">
      <w:pPr>
        <w:pStyle w:val="Legenda"/>
        <w:keepNext/>
      </w:pPr>
      <w:r>
        <w:fldChar w:fldCharType="begin"/>
      </w:r>
      <w:r>
        <w:instrText xml:space="preserve"> SEQ Equação \* ARABIC </w:instrText>
      </w:r>
      <w:r>
        <w:fldChar w:fldCharType="separate"/>
      </w:r>
      <w:r w:rsidR="00F7526F">
        <w:rPr>
          <w:noProof/>
        </w:rPr>
        <w:t>20</w:t>
      </w:r>
      <w:r>
        <w:fldChar w:fldCharType="end"/>
      </w:r>
    </w:p>
    <w:p w14:paraId="60F1B966" w14:textId="5AE4B7ED" w:rsidR="008D754B" w:rsidRPr="00FF66E7" w:rsidRDefault="008D754B" w:rsidP="00FF66E7">
      <w:pPr>
        <w:ind w:firstLine="708"/>
        <w:rPr>
          <w:rFonts w:eastAsiaTheme="minorEastAsia"/>
          <w:color w:val="000000" w:themeColor="text1"/>
        </w:rPr>
      </w:pPr>
      <m:oMathPara>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i,t</m:t>
              </m:r>
            </m:sub>
          </m:sSub>
          <m:r>
            <w:rPr>
              <w:rFonts w:ascii="Cambria Math" w:hAnsi="Cambria Math"/>
              <w:color w:val="000000" w:themeColor="text1"/>
            </w:rPr>
            <m:t>=f</m:t>
          </m:r>
          <m:d>
            <m:dPr>
              <m:ctrlPr>
                <w:rPr>
                  <w:rFonts w:ascii="Cambria Math" w:hAnsi="Cambria Math"/>
                  <w:i/>
                  <w:color w:val="000000" w:themeColor="text1"/>
                </w:rPr>
              </m:ctrlPr>
            </m:dPr>
            <m:e>
              <m:r>
                <w:rPr>
                  <w:rFonts w:ascii="Cambria Math" w:hAnsi="Cambria Math"/>
                  <w:color w:val="000000" w:themeColor="text1"/>
                </w:rPr>
                <m:t>α+</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2</m:t>
                  </m:r>
                </m:sub>
              </m:sSub>
              <m:sSubSup>
                <m:sSubSupPr>
                  <m:ctrlPr>
                    <w:rPr>
                      <w:rFonts w:ascii="Cambria Math" w:hAnsi="Cambria Math"/>
                      <w:i/>
                      <w:color w:val="000000" w:themeColor="text1"/>
                    </w:rPr>
                  </m:ctrlPr>
                </m:sSubSupPr>
                <m:e>
                  <m:r>
                    <w:rPr>
                      <w:rFonts w:ascii="Cambria Math" w:hAnsi="Cambria Math"/>
                      <w:color w:val="000000" w:themeColor="text1"/>
                    </w:rPr>
                    <m:t>R</m:t>
                  </m:r>
                </m:e>
                <m:sub>
                  <m:r>
                    <w:rPr>
                      <w:rFonts w:ascii="Cambria Math" w:hAnsi="Cambria Math"/>
                      <w:color w:val="000000" w:themeColor="text1"/>
                    </w:rPr>
                    <m:t>i,t</m:t>
                  </m:r>
                </m:sub>
                <m:sup>
                  <m:r>
                    <w:rPr>
                      <w:rFonts w:ascii="Cambria Math" w:hAnsi="Cambria Math"/>
                      <w:color w:val="000000" w:themeColor="text1"/>
                    </w:rPr>
                    <m:t>I/VA</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3</m:t>
                  </m:r>
                </m:sub>
              </m:sSub>
              <m:sSubSup>
                <m:sSubSupPr>
                  <m:ctrlPr>
                    <w:rPr>
                      <w:rFonts w:ascii="Cambria Math" w:hAnsi="Cambria Math"/>
                      <w:i/>
                      <w:color w:val="000000" w:themeColor="text1"/>
                    </w:rPr>
                  </m:ctrlPr>
                </m:sSubSupPr>
                <m:e>
                  <m:r>
                    <w:rPr>
                      <w:rFonts w:ascii="Cambria Math" w:hAnsi="Cambria Math"/>
                      <w:color w:val="000000" w:themeColor="text1"/>
                    </w:rPr>
                    <m:t>R</m:t>
                  </m:r>
                </m:e>
                <m:sub>
                  <m:r>
                    <w:rPr>
                      <w:rFonts w:ascii="Cambria Math" w:hAnsi="Cambria Math"/>
                      <w:color w:val="000000" w:themeColor="text1"/>
                    </w:rPr>
                    <m:t>i,t</m:t>
                  </m:r>
                </m:sub>
                <m:sup>
                  <m:r>
                    <w:rPr>
                      <w:rFonts w:ascii="Cambria Math" w:hAnsi="Cambria Math"/>
                      <w:color w:val="000000" w:themeColor="text1"/>
                    </w:rPr>
                    <m:t>I/E</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4</m:t>
                  </m:r>
                </m:sub>
              </m:sSub>
              <m:sSubSup>
                <m:sSubSupPr>
                  <m:ctrlPr>
                    <w:rPr>
                      <w:rFonts w:ascii="Cambria Math" w:hAnsi="Cambria Math"/>
                      <w:i/>
                      <w:color w:val="000000" w:themeColor="text1"/>
                    </w:rPr>
                  </m:ctrlPr>
                </m:sSubSupPr>
                <m:e>
                  <m:r>
                    <w:rPr>
                      <w:rFonts w:ascii="Cambria Math" w:hAnsi="Cambria Math"/>
                      <w:color w:val="000000" w:themeColor="text1"/>
                    </w:rPr>
                    <m:t>S</m:t>
                  </m:r>
                </m:e>
                <m:sub>
                  <m:r>
                    <w:rPr>
                      <w:rFonts w:ascii="Cambria Math" w:hAnsi="Cambria Math"/>
                      <w:color w:val="000000" w:themeColor="text1"/>
                    </w:rPr>
                    <m:t>i,t</m:t>
                  </m:r>
                </m:sub>
                <m:sup>
                  <m:r>
                    <w:rPr>
                      <w:rFonts w:ascii="Cambria Math" w:hAnsi="Cambria Math"/>
                      <w:color w:val="000000" w:themeColor="text1"/>
                    </w:rPr>
                    <m:t>K</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i,t</m:t>
                  </m:r>
                </m:sub>
              </m:sSub>
              <m:r>
                <w:rPr>
                  <w:rFonts w:ascii="Cambria Math" w:hAnsi="Cambria Math"/>
                  <w:color w:val="000000" w:themeColor="text1"/>
                </w:rPr>
                <m:t>γ+</m:t>
              </m:r>
              <m:sSub>
                <m:sSubPr>
                  <m:ctrlPr>
                    <w:rPr>
                      <w:rFonts w:ascii="Cambria Math" w:hAnsi="Cambria Math"/>
                      <w:i/>
                      <w:color w:val="000000" w:themeColor="text1"/>
                    </w:rPr>
                  </m:ctrlPr>
                </m:sSubPr>
                <m:e>
                  <m:r>
                    <w:rPr>
                      <w:rFonts w:ascii="Cambria Math" w:hAnsi="Cambria Math"/>
                      <w:color w:val="000000" w:themeColor="text1"/>
                    </w:rPr>
                    <m:t>ε</m:t>
                  </m:r>
                </m:e>
                <m:sub>
                  <m:r>
                    <w:rPr>
                      <w:rFonts w:ascii="Cambria Math" w:hAnsi="Cambria Math"/>
                      <w:color w:val="000000" w:themeColor="text1"/>
                    </w:rPr>
                    <m:t>i,t</m:t>
                  </m:r>
                </m:sub>
              </m:sSub>
              <m:r>
                <w:rPr>
                  <w:rFonts w:ascii="Cambria Math" w:hAnsi="Cambria Math"/>
                  <w:color w:val="000000" w:themeColor="text1"/>
                </w:rPr>
                <m:t>​</m:t>
              </m:r>
            </m:e>
          </m:d>
        </m:oMath>
      </m:oMathPara>
    </w:p>
    <w:p w14:paraId="00118A6D" w14:textId="3BF83903" w:rsidR="00C26EE7" w:rsidRPr="008D754B" w:rsidRDefault="008D754B" w:rsidP="008D754B">
      <w:pPr>
        <w:rPr>
          <w:color w:val="000000" w:themeColor="text1"/>
        </w:rPr>
      </w:pPr>
      <w:r w:rsidRPr="008D754B">
        <w:rPr>
          <w:color w:val="000000" w:themeColor="text1"/>
        </w:rPr>
        <w:t>em que:</w:t>
      </w:r>
    </w:p>
    <w:p w14:paraId="1F020A0A" w14:textId="52FDCFF6" w:rsidR="008D754B" w:rsidRPr="008D754B" w:rsidRDefault="008D754B" w:rsidP="008D754B">
      <w:pPr>
        <w:pStyle w:val="PargrafodaLista"/>
        <w:numPr>
          <w:ilvl w:val="0"/>
          <w:numId w:val="34"/>
        </w:numPr>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i,t</m:t>
            </m:r>
          </m:sub>
        </m:sSub>
        <m:r>
          <w:rPr>
            <w:rFonts w:ascii="Cambria Math" w:hAnsi="Cambria Math"/>
            <w:color w:val="000000" w:themeColor="text1"/>
          </w:rPr>
          <m:t xml:space="preserve"> = </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CAPEX</m:t>
                </m:r>
              </m:e>
              <m:sub>
                <m:r>
                  <w:rPr>
                    <w:rFonts w:ascii="Cambria Math" w:hAnsi="Cambria Math"/>
                    <w:color w:val="000000" w:themeColor="text1"/>
                  </w:rPr>
                  <m:t>i,t</m:t>
                </m:r>
              </m:sub>
            </m:sSub>
          </m:num>
          <m:den>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i,t</m:t>
                </m:r>
              </m:sub>
            </m:sSub>
          </m:den>
        </m:f>
      </m:oMath>
      <w:r w:rsidRPr="008D754B">
        <w:rPr>
          <w:rFonts w:eastAsiaTheme="minorEastAsia"/>
          <w:color w:val="000000" w:themeColor="text1"/>
        </w:rPr>
        <w:t xml:space="preserve">  </w:t>
      </w:r>
      <w:r w:rsidRPr="008D754B">
        <w:rPr>
          <w:rFonts w:eastAsiaTheme="minorEastAsia"/>
          <w:color w:val="000000" w:themeColor="text1"/>
        </w:rPr>
        <w:t>é a proxy de automação (capital por trabalhador);</w:t>
      </w:r>
    </w:p>
    <w:p w14:paraId="4FE4B5D5" w14:textId="247A9400" w:rsidR="008D754B" w:rsidRPr="008D754B" w:rsidRDefault="008D754B" w:rsidP="008D754B">
      <w:pPr>
        <w:pStyle w:val="PargrafodaLista"/>
        <w:numPr>
          <w:ilvl w:val="0"/>
          <w:numId w:val="34"/>
        </w:numPr>
        <w:rPr>
          <w:color w:val="000000" w:themeColor="text1"/>
        </w:rPr>
      </w:pPr>
      <m:oMath>
        <m:sSubSup>
          <m:sSubSupPr>
            <m:ctrlPr>
              <w:rPr>
                <w:rFonts w:ascii="Cambria Math" w:hAnsi="Cambria Math"/>
                <w:i/>
                <w:color w:val="000000" w:themeColor="text1"/>
              </w:rPr>
            </m:ctrlPr>
          </m:sSubSupPr>
          <m:e>
            <m:r>
              <w:rPr>
                <w:rFonts w:ascii="Cambria Math" w:hAnsi="Cambria Math"/>
                <w:color w:val="000000" w:themeColor="text1"/>
              </w:rPr>
              <m:t>R</m:t>
            </m:r>
          </m:e>
          <m:sub>
            <m:r>
              <w:rPr>
                <w:rFonts w:ascii="Cambria Math" w:hAnsi="Cambria Math"/>
                <w:color w:val="000000" w:themeColor="text1"/>
              </w:rPr>
              <m:t>i,t</m:t>
            </m:r>
          </m:sub>
          <m:sup>
            <m:r>
              <w:rPr>
                <w:rFonts w:ascii="Cambria Math" w:hAnsi="Cambria Math"/>
                <w:color w:val="000000" w:themeColor="text1"/>
              </w:rPr>
              <m:t>I/VA</m:t>
            </m:r>
          </m:sup>
        </m:sSubSup>
        <m:r>
          <w:rPr>
            <w:rFonts w:ascii="Cambria Math" w:hAnsi="Cambria Math"/>
            <w:color w:val="000000" w:themeColor="text1"/>
          </w:rPr>
          <m:t xml:space="preserve">​ e  </m:t>
        </m:r>
        <m:sSubSup>
          <m:sSubSupPr>
            <m:ctrlPr>
              <w:rPr>
                <w:rFonts w:ascii="Cambria Math" w:hAnsi="Cambria Math"/>
                <w:i/>
                <w:color w:val="000000" w:themeColor="text1"/>
              </w:rPr>
            </m:ctrlPr>
          </m:sSubSupPr>
          <m:e>
            <m:r>
              <w:rPr>
                <w:rFonts w:ascii="Cambria Math" w:hAnsi="Cambria Math"/>
                <w:color w:val="000000" w:themeColor="text1"/>
              </w:rPr>
              <m:t>R</m:t>
            </m:r>
          </m:e>
          <m:sub>
            <m:r>
              <w:rPr>
                <w:rFonts w:ascii="Cambria Math" w:hAnsi="Cambria Math"/>
                <w:color w:val="000000" w:themeColor="text1"/>
              </w:rPr>
              <m:t>i,t</m:t>
            </m:r>
          </m:sub>
          <m:sup>
            <m:r>
              <w:rPr>
                <w:rFonts w:ascii="Cambria Math" w:hAnsi="Cambria Math"/>
                <w:color w:val="000000" w:themeColor="text1"/>
              </w:rPr>
              <m:t>I/E</m:t>
            </m:r>
          </m:sup>
        </m:sSubSup>
      </m:oMath>
      <w:r w:rsidRPr="008D754B">
        <w:rPr>
          <w:rFonts w:eastAsiaTheme="minorEastAsia"/>
          <w:color w:val="000000" w:themeColor="text1"/>
        </w:rPr>
        <w:t xml:space="preserve"> </w:t>
      </w:r>
      <w:r w:rsidRPr="008D754B">
        <w:rPr>
          <w:rFonts w:eastAsiaTheme="minorEastAsia"/>
          <w:color w:val="000000" w:themeColor="text1"/>
        </w:rPr>
        <w:t>captam a intensidade do incentivo sobre a produção e o emprego;</w:t>
      </w:r>
    </w:p>
    <w:p w14:paraId="0A8F4D94" w14:textId="78A1F19B" w:rsidR="008D754B" w:rsidRPr="008D754B" w:rsidRDefault="008D754B" w:rsidP="008D754B">
      <w:pPr>
        <w:pStyle w:val="PargrafodaLista"/>
        <w:numPr>
          <w:ilvl w:val="0"/>
          <w:numId w:val="34"/>
        </w:numPr>
        <w:rPr>
          <w:color w:val="000000" w:themeColor="text1"/>
        </w:rPr>
      </w:pPr>
      <m:oMath>
        <m:sSubSup>
          <m:sSubSupPr>
            <m:ctrlPr>
              <w:rPr>
                <w:rFonts w:ascii="Cambria Math" w:hAnsi="Cambria Math"/>
                <w:i/>
                <w:color w:val="000000" w:themeColor="text1"/>
              </w:rPr>
            </m:ctrlPr>
          </m:sSubSupPr>
          <m:e>
            <m:r>
              <w:rPr>
                <w:rFonts w:ascii="Cambria Math" w:hAnsi="Cambria Math"/>
                <w:color w:val="000000" w:themeColor="text1"/>
              </w:rPr>
              <m:t>S</m:t>
            </m:r>
          </m:e>
          <m:sub>
            <m:r>
              <w:rPr>
                <w:rFonts w:ascii="Cambria Math" w:hAnsi="Cambria Math"/>
                <w:color w:val="000000" w:themeColor="text1"/>
              </w:rPr>
              <m:t>i,t</m:t>
            </m:r>
          </m:sub>
          <m:sup>
            <m:r>
              <w:rPr>
                <w:rFonts w:ascii="Cambria Math" w:hAnsi="Cambria Math"/>
                <w:color w:val="000000" w:themeColor="text1"/>
              </w:rPr>
              <m:t>K</m:t>
            </m:r>
          </m:sup>
        </m:sSubSup>
      </m:oMath>
      <w:r w:rsidRPr="008D754B">
        <w:rPr>
          <w:rFonts w:eastAsiaTheme="minorEastAsia"/>
          <w:color w:val="000000" w:themeColor="text1"/>
        </w:rPr>
        <w:t xml:space="preserve">  </w:t>
      </w:r>
      <w:r w:rsidRPr="008D754B">
        <w:rPr>
          <w:rFonts w:eastAsiaTheme="minorEastAsia"/>
          <w:color w:val="000000" w:themeColor="text1"/>
        </w:rPr>
        <w:t>representa o porte em capital (log do CAPEX);</w:t>
      </w:r>
    </w:p>
    <w:p w14:paraId="72E9670E" w14:textId="2CCEE0D5" w:rsidR="00D446D6" w:rsidRPr="008D754B" w:rsidRDefault="008D754B" w:rsidP="008D754B">
      <w:pPr>
        <w:pStyle w:val="PargrafodaLista"/>
        <w:numPr>
          <w:ilvl w:val="0"/>
          <w:numId w:val="34"/>
        </w:numPr>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i,t</m:t>
            </m:r>
          </m:sub>
        </m:sSub>
      </m:oMath>
      <w:r w:rsidRPr="008D754B">
        <w:rPr>
          <w:rFonts w:eastAsiaTheme="minorEastAsia"/>
          <w:color w:val="000000" w:themeColor="text1"/>
        </w:rPr>
        <w:t xml:space="preserve">  </w:t>
      </w:r>
      <w:r w:rsidRPr="008D754B">
        <w:rPr>
          <w:rFonts w:eastAsiaTheme="minorEastAsia"/>
          <w:color w:val="000000" w:themeColor="text1"/>
        </w:rPr>
        <w:t>reúne variáveis de controle (composição ocupacional, intensidade de P&amp;D, ano de referência);</w:t>
      </w:r>
    </w:p>
    <w:p w14:paraId="3CF99E02" w14:textId="3BA16D7E" w:rsidR="008D754B" w:rsidRPr="008D754B" w:rsidRDefault="008D754B" w:rsidP="008D754B">
      <w:pPr>
        <w:pStyle w:val="PargrafodaLista"/>
        <w:numPr>
          <w:ilvl w:val="0"/>
          <w:numId w:val="34"/>
        </w:numPr>
        <w:rPr>
          <w:color w:val="000000" w:themeColor="text1"/>
        </w:rPr>
      </w:pPr>
      <m:oMath>
        <m:r>
          <w:rPr>
            <w:rFonts w:ascii="Cambria Math" w:hAnsi="Cambria Math"/>
            <w:color w:val="000000" w:themeColor="text1"/>
          </w:rPr>
          <m:t xml:space="preserve">f(∙) </m:t>
        </m:r>
      </m:oMath>
      <w:r w:rsidRPr="008D754B">
        <w:rPr>
          <w:rFonts w:eastAsiaTheme="minorEastAsia"/>
          <w:color w:val="000000" w:themeColor="text1"/>
        </w:rPr>
        <w:t xml:space="preserve"> </w:t>
      </w:r>
      <w:r w:rsidRPr="008D754B">
        <w:rPr>
          <w:rFonts w:eastAsiaTheme="minorEastAsia"/>
          <w:color w:val="000000" w:themeColor="text1"/>
        </w:rPr>
        <w:t>é a função de ligação de regressão truncada apropriada;</w:t>
      </w:r>
    </w:p>
    <w:p w14:paraId="0B961E7C" w14:textId="7BF4E8D8" w:rsidR="008D754B" w:rsidRPr="00C26EE7" w:rsidRDefault="008D754B" w:rsidP="008D754B">
      <w:pPr>
        <w:pStyle w:val="PargrafodaLista"/>
        <w:numPr>
          <w:ilvl w:val="0"/>
          <w:numId w:val="34"/>
        </w:numPr>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ε</m:t>
            </m:r>
          </m:e>
          <m:sub>
            <m:r>
              <w:rPr>
                <w:rFonts w:ascii="Cambria Math" w:hAnsi="Cambria Math"/>
                <w:color w:val="000000" w:themeColor="text1"/>
              </w:rPr>
              <m:t>i,t</m:t>
            </m:r>
          </m:sub>
        </m:sSub>
      </m:oMath>
      <w:r w:rsidRPr="008D754B">
        <w:rPr>
          <w:rFonts w:eastAsiaTheme="minorEastAsia"/>
          <w:color w:val="000000" w:themeColor="text1"/>
        </w:rPr>
        <w:t xml:space="preserve">  </w:t>
      </w:r>
      <w:proofErr w:type="spellStart"/>
      <w:r w:rsidRPr="008D754B">
        <w:rPr>
          <w:rFonts w:eastAsiaTheme="minorEastAsia"/>
          <w:color w:val="000000" w:themeColor="text1"/>
        </w:rPr>
        <w:t>é</w:t>
      </w:r>
      <w:proofErr w:type="spellEnd"/>
      <w:r w:rsidRPr="008D754B">
        <w:rPr>
          <w:rFonts w:eastAsiaTheme="minorEastAsia"/>
          <w:color w:val="000000" w:themeColor="text1"/>
        </w:rPr>
        <w:t xml:space="preserve"> o termo de erro.</w:t>
      </w:r>
    </w:p>
    <w:p w14:paraId="393F1103" w14:textId="572EEFD3" w:rsidR="008D754B" w:rsidRPr="00C26EE7" w:rsidRDefault="008D754B" w:rsidP="008D754B">
      <w:pPr>
        <w:rPr>
          <w:color w:val="000000" w:themeColor="text1"/>
        </w:rPr>
      </w:pPr>
      <w:r w:rsidRPr="00C26EE7">
        <w:rPr>
          <w:color w:val="000000" w:themeColor="text1"/>
        </w:rPr>
        <w:lastRenderedPageBreak/>
        <w:t xml:space="preserve">O parâmetro de maior interesse é </w:t>
      </w:r>
      <m:oMath>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1</m:t>
            </m:r>
          </m:sub>
        </m:sSub>
      </m:oMath>
      <w:r w:rsidRPr="00C26EE7">
        <w:rPr>
          <w:color w:val="000000" w:themeColor="text1"/>
        </w:rPr>
        <w:t xml:space="preserve"> </w:t>
      </w:r>
      <w:r w:rsidRPr="00C26EE7">
        <w:rPr>
          <w:color w:val="000000" w:themeColor="text1"/>
        </w:rPr>
        <w:t xml:space="preserve">pela hipótese central deste estudo, espera-se </w:t>
      </w:r>
      <m:oMath>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1</m:t>
            </m:r>
          </m:sub>
        </m:sSub>
        <m:r>
          <w:rPr>
            <w:rFonts w:ascii="Cambria Math" w:hAnsi="Cambria Math"/>
            <w:color w:val="000000" w:themeColor="text1"/>
          </w:rPr>
          <m:t xml:space="preserve">&gt;0  </m:t>
        </m:r>
      </m:oMath>
      <w:r w:rsidRPr="00C26EE7">
        <w:rPr>
          <w:color w:val="000000" w:themeColor="text1"/>
        </w:rPr>
        <w:t xml:space="preserve">quando o output é valor adicionado e </w:t>
      </w:r>
      <m:oMath>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1</m:t>
            </m:r>
          </m:sub>
        </m:sSub>
        <m:r>
          <w:rPr>
            <w:rFonts w:ascii="Cambria Math" w:hAnsi="Cambria Math"/>
            <w:color w:val="000000" w:themeColor="text1"/>
          </w:rPr>
          <m:t xml:space="preserve">&lt;0 </m:t>
        </m:r>
      </m:oMath>
      <w:r w:rsidRPr="00C26EE7">
        <w:rPr>
          <w:color w:val="000000" w:themeColor="text1"/>
        </w:rPr>
        <w:t xml:space="preserve">quando o output é emprego, refletindo o trade-off da automação. Já </w:t>
      </w:r>
      <m:oMath>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2</m:t>
            </m:r>
          </m:sub>
        </m:sSub>
      </m:oMath>
      <w:r w:rsidRPr="00C26EE7">
        <w:rPr>
          <w:color w:val="000000" w:themeColor="text1"/>
        </w:rPr>
        <w:t xml:space="preserve">​ e </w:t>
      </w:r>
      <m:oMath>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3</m:t>
            </m:r>
          </m:sub>
        </m:sSub>
      </m:oMath>
      <w:r w:rsidRPr="00C26EE7">
        <w:rPr>
          <w:color w:val="000000" w:themeColor="text1"/>
        </w:rPr>
        <w:t xml:space="preserve"> testam se maiores incentivos relativos se traduzem em maior eficiência na conversão, e </w:t>
      </w:r>
      <m:oMath>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4</m:t>
            </m:r>
          </m:sub>
        </m:sSub>
      </m:oMath>
      <w:r w:rsidRPr="00C26EE7">
        <w:rPr>
          <w:color w:val="000000" w:themeColor="text1"/>
        </w:rPr>
        <w:t xml:space="preserve"> captura efeitos de porte.</w:t>
      </w:r>
    </w:p>
    <w:p w14:paraId="416455AA" w14:textId="77777777" w:rsidR="00C26EE7" w:rsidRPr="00C26EE7" w:rsidRDefault="00C26EE7" w:rsidP="00FF66E7">
      <w:pPr>
        <w:rPr>
          <w:color w:val="000000" w:themeColor="text1"/>
        </w:rPr>
      </w:pPr>
    </w:p>
    <w:p w14:paraId="4F39B9F1" w14:textId="3C2799FE" w:rsidR="00FF66E7" w:rsidRPr="00C26EE7" w:rsidRDefault="00FF66E7" w:rsidP="00FF66E7">
      <w:pPr>
        <w:pStyle w:val="Ttulo2"/>
      </w:pPr>
      <w:bookmarkStart w:id="29" w:name="_Toc210058181"/>
      <w:r w:rsidRPr="00C26EE7">
        <w:t>ROBUSTEZ, REPLICABILIDADE E SOFTWARE UTILIZADO</w:t>
      </w:r>
      <w:bookmarkEnd w:id="29"/>
    </w:p>
    <w:p w14:paraId="749F31B5" w14:textId="77777777" w:rsidR="00FF66E7" w:rsidRPr="00C26EE7" w:rsidRDefault="00FF66E7" w:rsidP="00FF66E7"/>
    <w:p w14:paraId="3FE61D74" w14:textId="77777777" w:rsidR="00FF66E7" w:rsidRPr="00FF66E7" w:rsidRDefault="00FF66E7" w:rsidP="00FF66E7">
      <w:pPr>
        <w:ind w:firstLine="708"/>
        <w:rPr>
          <w:color w:val="000000" w:themeColor="text1"/>
        </w:rPr>
      </w:pPr>
      <w:r w:rsidRPr="00FF66E7">
        <w:rPr>
          <w:color w:val="000000" w:themeColor="text1"/>
        </w:rPr>
        <w:t>A validade da análise depende não apenas da escolha conceitual dos métodos, mas também da robustez dos resultados e da possibilidade de replicação integral por outros pesquisadores. Por isso, esta seção sistematiza os cuidados adotados.</w:t>
      </w:r>
    </w:p>
    <w:p w14:paraId="7A04B132" w14:textId="7E641DF4" w:rsidR="00FF66E7" w:rsidRPr="00FF66E7" w:rsidRDefault="00FF66E7" w:rsidP="00FF66E7">
      <w:pPr>
        <w:ind w:firstLine="708"/>
        <w:rPr>
          <w:color w:val="000000" w:themeColor="text1"/>
        </w:rPr>
      </w:pPr>
      <w:r w:rsidRPr="00FF66E7">
        <w:rPr>
          <w:color w:val="000000" w:themeColor="text1"/>
        </w:rPr>
        <w:t>O algoritmo K-</w:t>
      </w:r>
      <w:proofErr w:type="spellStart"/>
      <w:r w:rsidRPr="00FF66E7">
        <w:rPr>
          <w:color w:val="000000" w:themeColor="text1"/>
        </w:rPr>
        <w:t>means</w:t>
      </w:r>
      <w:proofErr w:type="spellEnd"/>
      <w:r w:rsidRPr="00FF66E7">
        <w:rPr>
          <w:color w:val="000000" w:themeColor="text1"/>
        </w:rPr>
        <w:t xml:space="preserve"> será executado com múltiplas sementes e inicialização </w:t>
      </w:r>
      <w:r w:rsidRPr="00FF66E7">
        <w:rPr>
          <w:i/>
          <w:iCs/>
          <w:color w:val="000000" w:themeColor="text1"/>
        </w:rPr>
        <w:t>k-</w:t>
      </w:r>
      <w:proofErr w:type="spellStart"/>
      <w:r w:rsidRPr="00FF66E7">
        <w:rPr>
          <w:i/>
          <w:iCs/>
          <w:color w:val="000000" w:themeColor="text1"/>
        </w:rPr>
        <w:t>means</w:t>
      </w:r>
      <w:proofErr w:type="spellEnd"/>
      <w:r w:rsidRPr="00FF66E7">
        <w:rPr>
          <w:i/>
          <w:iCs/>
          <w:color w:val="000000" w:themeColor="text1"/>
        </w:rPr>
        <w:t>++</w:t>
      </w:r>
      <w:r w:rsidRPr="00FF66E7">
        <w:rPr>
          <w:color w:val="000000" w:themeColor="text1"/>
        </w:rPr>
        <w:t xml:space="preserve">, mitigando dependência do ponto de partida. A escolha de </w:t>
      </w:r>
      <m:oMath>
        <m:r>
          <m:rPr>
            <m:scr m:val="script"/>
          </m:rPr>
          <w:rPr>
            <w:rFonts w:ascii="Cambria Math" w:eastAsiaTheme="minorEastAsia" w:hAnsi="Cambria Math"/>
          </w:rPr>
          <m:t>K</m:t>
        </m:r>
      </m:oMath>
      <w:r w:rsidRPr="00FF66E7">
        <w:rPr>
          <w:color w:val="000000" w:themeColor="text1"/>
        </w:rPr>
        <w:t xml:space="preserve"> combinará os critérios de cotovelo, índice de </w:t>
      </w:r>
      <w:proofErr w:type="spellStart"/>
      <w:r w:rsidRPr="00FF66E7">
        <w:rPr>
          <w:i/>
          <w:iCs/>
          <w:color w:val="000000" w:themeColor="text1"/>
        </w:rPr>
        <w:t>silhouette</w:t>
      </w:r>
      <w:proofErr w:type="spellEnd"/>
      <w:r w:rsidRPr="00FF66E7">
        <w:rPr>
          <w:color w:val="000000" w:themeColor="text1"/>
        </w:rPr>
        <w:t xml:space="preserve"> e </w:t>
      </w:r>
      <w:r w:rsidRPr="00FF66E7">
        <w:rPr>
          <w:i/>
          <w:iCs/>
          <w:color w:val="000000" w:themeColor="text1"/>
        </w:rPr>
        <w:t xml:space="preserve">gap </w:t>
      </w:r>
      <w:proofErr w:type="spellStart"/>
      <w:r w:rsidRPr="00FF66E7">
        <w:rPr>
          <w:i/>
          <w:iCs/>
          <w:color w:val="000000" w:themeColor="text1"/>
        </w:rPr>
        <w:t>statistic</w:t>
      </w:r>
      <w:proofErr w:type="spellEnd"/>
      <w:r w:rsidRPr="00FF66E7">
        <w:rPr>
          <w:color w:val="000000" w:themeColor="text1"/>
        </w:rPr>
        <w:t xml:space="preserve">, ponderados pela </w:t>
      </w:r>
      <w:proofErr w:type="spellStart"/>
      <w:r w:rsidRPr="00FF66E7">
        <w:rPr>
          <w:color w:val="000000" w:themeColor="text1"/>
        </w:rPr>
        <w:t>interpretabilidade</w:t>
      </w:r>
      <w:proofErr w:type="spellEnd"/>
      <w:r w:rsidRPr="00FF66E7">
        <w:rPr>
          <w:color w:val="000000" w:themeColor="text1"/>
        </w:rPr>
        <w:t xml:space="preserve"> econômica. Sensibilidades adicionais incluem a aplicação de </w:t>
      </w:r>
      <w:proofErr w:type="spellStart"/>
      <w:r w:rsidRPr="00FF66E7">
        <w:rPr>
          <w:color w:val="000000" w:themeColor="text1"/>
        </w:rPr>
        <w:t>subamostragem</w:t>
      </w:r>
      <w:proofErr w:type="spellEnd"/>
      <w:r w:rsidRPr="00FF66E7">
        <w:rPr>
          <w:color w:val="000000" w:themeColor="text1"/>
        </w:rPr>
        <w:t xml:space="preserve"> (</w:t>
      </w:r>
      <w:proofErr w:type="spellStart"/>
      <w:r w:rsidRPr="00FF66E7">
        <w:rPr>
          <w:i/>
          <w:iCs/>
          <w:color w:val="000000" w:themeColor="text1"/>
        </w:rPr>
        <w:t>subsampling</w:t>
      </w:r>
      <w:proofErr w:type="spellEnd"/>
      <w:r w:rsidRPr="00FF66E7">
        <w:rPr>
          <w:color w:val="000000" w:themeColor="text1"/>
        </w:rPr>
        <w:t>) e a verificação da estabilidade das atribuições por índices de concordância (Rand ajustado).</w:t>
      </w:r>
    </w:p>
    <w:p w14:paraId="210EC500" w14:textId="3491FDE4" w:rsidR="00FF66E7" w:rsidRPr="00FF66E7" w:rsidRDefault="00FF66E7" w:rsidP="00FF66E7">
      <w:pPr>
        <w:ind w:firstLine="708"/>
        <w:rPr>
          <w:color w:val="000000" w:themeColor="text1"/>
        </w:rPr>
      </w:pPr>
      <w:r w:rsidRPr="00C26EE7">
        <w:rPr>
          <w:color w:val="000000" w:themeColor="text1"/>
        </w:rPr>
        <w:t>Tratando da robustez do DEA, a fim de</w:t>
      </w:r>
      <w:r w:rsidRPr="00FF66E7">
        <w:rPr>
          <w:color w:val="000000" w:themeColor="text1"/>
        </w:rPr>
        <w:t xml:space="preserve"> assegurar poder discriminante, cada cluster respeitará a regra prática de manter número de </w:t>
      </w:r>
      <w:proofErr w:type="spellStart"/>
      <w:r w:rsidRPr="00FF66E7">
        <w:rPr>
          <w:color w:val="000000" w:themeColor="text1"/>
        </w:rPr>
        <w:t>DMUs</w:t>
      </w:r>
      <w:proofErr w:type="spellEnd"/>
      <w:r w:rsidRPr="00FF66E7">
        <w:rPr>
          <w:color w:val="000000" w:themeColor="text1"/>
        </w:rPr>
        <w:t xml:space="preserve"> substancialmente superior ao de variáveis incluídas. Testes de sensibilidade incluirão: (i) </w:t>
      </w:r>
      <w:proofErr w:type="spellStart"/>
      <w:r w:rsidRPr="00FF66E7">
        <w:rPr>
          <w:color w:val="000000" w:themeColor="text1"/>
        </w:rPr>
        <w:t>winsorização</w:t>
      </w:r>
      <w:proofErr w:type="spellEnd"/>
      <w:r w:rsidRPr="00FF66E7">
        <w:rPr>
          <w:color w:val="000000" w:themeColor="text1"/>
        </w:rPr>
        <w:t xml:space="preserve"> versus exclusão de outliers extremos; (</w:t>
      </w:r>
      <w:proofErr w:type="spellStart"/>
      <w:r w:rsidRPr="00FF66E7">
        <w:rPr>
          <w:color w:val="000000" w:themeColor="text1"/>
        </w:rPr>
        <w:t>ii</w:t>
      </w:r>
      <w:proofErr w:type="spellEnd"/>
      <w:r w:rsidRPr="00FF66E7">
        <w:rPr>
          <w:color w:val="000000" w:themeColor="text1"/>
        </w:rPr>
        <w:t>) transformações logarítmicas alternativas; e (</w:t>
      </w:r>
      <w:proofErr w:type="spellStart"/>
      <w:r w:rsidRPr="00FF66E7">
        <w:rPr>
          <w:color w:val="000000" w:themeColor="text1"/>
        </w:rPr>
        <w:t>iii</w:t>
      </w:r>
      <w:proofErr w:type="spellEnd"/>
      <w:r w:rsidRPr="00FF66E7">
        <w:rPr>
          <w:color w:val="000000" w:themeColor="text1"/>
        </w:rPr>
        <w:t>) comparação entre orientações (input/output) em exercícios exploratórios. Quando pertinente, restrições de pesos (</w:t>
      </w:r>
      <w:proofErr w:type="spellStart"/>
      <w:r w:rsidRPr="00FF66E7">
        <w:rPr>
          <w:i/>
          <w:iCs/>
          <w:color w:val="000000" w:themeColor="text1"/>
        </w:rPr>
        <w:t>assurance</w:t>
      </w:r>
      <w:proofErr w:type="spellEnd"/>
      <w:r w:rsidRPr="00FF66E7">
        <w:rPr>
          <w:i/>
          <w:iCs/>
          <w:color w:val="000000" w:themeColor="text1"/>
        </w:rPr>
        <w:t xml:space="preserve"> </w:t>
      </w:r>
      <w:proofErr w:type="spellStart"/>
      <w:r w:rsidRPr="00FF66E7">
        <w:rPr>
          <w:i/>
          <w:iCs/>
          <w:color w:val="000000" w:themeColor="text1"/>
        </w:rPr>
        <w:t>regions</w:t>
      </w:r>
      <w:proofErr w:type="spellEnd"/>
      <w:r w:rsidRPr="00FF66E7">
        <w:rPr>
          <w:color w:val="000000" w:themeColor="text1"/>
        </w:rPr>
        <w:t>) poderão ser aplicadas, sempre com justificativa substantiva.</w:t>
      </w:r>
    </w:p>
    <w:p w14:paraId="4EA851F6" w14:textId="108C1B89" w:rsidR="00FF66E7" w:rsidRPr="00FF66E7" w:rsidRDefault="00FF66E7" w:rsidP="00FF66E7">
      <w:pPr>
        <w:ind w:firstLine="708"/>
        <w:rPr>
          <w:color w:val="000000" w:themeColor="text1"/>
        </w:rPr>
      </w:pPr>
      <w:r w:rsidRPr="00C26EE7">
        <w:rPr>
          <w:color w:val="000000" w:themeColor="text1"/>
        </w:rPr>
        <w:t xml:space="preserve">No que tange a robustez do </w:t>
      </w:r>
      <w:proofErr w:type="spellStart"/>
      <w:r w:rsidRPr="00C26EE7">
        <w:rPr>
          <w:color w:val="000000" w:themeColor="text1"/>
        </w:rPr>
        <w:t>Malmquist</w:t>
      </w:r>
      <w:proofErr w:type="spellEnd"/>
      <w:r w:rsidRPr="00C26EE7">
        <w:rPr>
          <w:color w:val="000000" w:themeColor="text1"/>
        </w:rPr>
        <w:t>, o</w:t>
      </w:r>
      <w:r w:rsidRPr="00FF66E7">
        <w:rPr>
          <w:color w:val="000000" w:themeColor="text1"/>
        </w:rPr>
        <w:t xml:space="preserve"> índice será estimado ano a ano (2018–2023) dentro de cada cluster. A decomposição em </w:t>
      </w:r>
      <w:r w:rsidRPr="00FF66E7">
        <w:rPr>
          <w:i/>
          <w:iCs/>
          <w:color w:val="000000" w:themeColor="text1"/>
        </w:rPr>
        <w:t>catch-</w:t>
      </w:r>
      <w:proofErr w:type="spellStart"/>
      <w:r w:rsidRPr="00FF66E7">
        <w:rPr>
          <w:i/>
          <w:iCs/>
          <w:color w:val="000000" w:themeColor="text1"/>
        </w:rPr>
        <w:t>up</w:t>
      </w:r>
      <w:proofErr w:type="spellEnd"/>
      <w:r w:rsidRPr="00FF66E7">
        <w:rPr>
          <w:color w:val="000000" w:themeColor="text1"/>
        </w:rPr>
        <w:t xml:space="preserve"> e </w:t>
      </w:r>
      <w:r w:rsidRPr="00FF66E7">
        <w:rPr>
          <w:i/>
          <w:iCs/>
          <w:color w:val="000000" w:themeColor="text1"/>
        </w:rPr>
        <w:t>shift</w:t>
      </w:r>
      <w:r w:rsidRPr="00FF66E7">
        <w:rPr>
          <w:color w:val="000000" w:themeColor="text1"/>
        </w:rPr>
        <w:t xml:space="preserve"> será verificada em exercícios paralelos com fronteiras globais, garantindo que conclusões não dependam apenas da segmentação.</w:t>
      </w:r>
    </w:p>
    <w:p w14:paraId="32DC2981" w14:textId="433112CE" w:rsidR="00D16D85" w:rsidRPr="00C26EE7" w:rsidRDefault="00C26EE7" w:rsidP="00D16D85">
      <w:pPr>
        <w:ind w:firstLine="708"/>
        <w:rPr>
          <w:color w:val="000000" w:themeColor="text1"/>
        </w:rPr>
      </w:pPr>
      <w:r w:rsidRPr="00C26EE7">
        <w:rPr>
          <w:color w:val="000000" w:themeColor="text1"/>
        </w:rPr>
        <w:t>A respeito da</w:t>
      </w:r>
      <w:r w:rsidR="00FF66E7" w:rsidRPr="00C26EE7">
        <w:rPr>
          <w:color w:val="000000" w:themeColor="text1"/>
        </w:rPr>
        <w:t xml:space="preserve"> r</w:t>
      </w:r>
      <w:r w:rsidR="00FF66E7" w:rsidRPr="00FF66E7">
        <w:rPr>
          <w:color w:val="000000" w:themeColor="text1"/>
        </w:rPr>
        <w:t>eplicabilidade</w:t>
      </w:r>
      <w:r w:rsidRPr="00C26EE7">
        <w:rPr>
          <w:color w:val="000000" w:themeColor="text1"/>
        </w:rPr>
        <w:t>, t</w:t>
      </w:r>
      <w:r w:rsidR="00FF66E7" w:rsidRPr="00FF66E7">
        <w:rPr>
          <w:color w:val="000000" w:themeColor="text1"/>
        </w:rPr>
        <w:t xml:space="preserve">odas as etapas do fluxo — desde a importação e limpeza dos dados até a estimação do DEA, </w:t>
      </w:r>
      <w:proofErr w:type="spellStart"/>
      <w:r w:rsidR="00FF66E7" w:rsidRPr="00FF66E7">
        <w:rPr>
          <w:color w:val="000000" w:themeColor="text1"/>
        </w:rPr>
        <w:t>Malmquist</w:t>
      </w:r>
      <w:proofErr w:type="spellEnd"/>
      <w:r w:rsidR="00FF66E7" w:rsidRPr="00FF66E7">
        <w:rPr>
          <w:color w:val="000000" w:themeColor="text1"/>
        </w:rPr>
        <w:t xml:space="preserve"> e regressões de segunda etapa — serão documentadas em </w:t>
      </w:r>
      <w:r w:rsidR="00FF66E7" w:rsidRPr="00FF66E7">
        <w:rPr>
          <w:i/>
          <w:iCs/>
          <w:color w:val="000000" w:themeColor="text1"/>
        </w:rPr>
        <w:t>scripts</w:t>
      </w:r>
      <w:r w:rsidR="00FF66E7" w:rsidRPr="00FF66E7">
        <w:rPr>
          <w:color w:val="000000" w:themeColor="text1"/>
        </w:rPr>
        <w:t xml:space="preserve"> reprodutíveis em linguagem </w:t>
      </w:r>
      <w:r w:rsidR="00FF66E7" w:rsidRPr="00C26EE7">
        <w:rPr>
          <w:color w:val="000000" w:themeColor="text1"/>
        </w:rPr>
        <w:t>Python</w:t>
      </w:r>
      <w:r w:rsidR="00FF66E7" w:rsidRPr="00FF66E7">
        <w:rPr>
          <w:color w:val="000000" w:themeColor="text1"/>
        </w:rPr>
        <w:t xml:space="preserve">. </w:t>
      </w:r>
      <w:r w:rsidRPr="00C26EE7">
        <w:rPr>
          <w:color w:val="000000" w:themeColor="text1"/>
        </w:rPr>
        <w:t>Principais bibliotecas:</w:t>
      </w:r>
    </w:p>
    <w:p w14:paraId="67E095D1" w14:textId="00B97849" w:rsidR="00C26EE7" w:rsidRDefault="00C26EE7" w:rsidP="00C26EE7">
      <w:pPr>
        <w:numPr>
          <w:ilvl w:val="0"/>
          <w:numId w:val="35"/>
        </w:numPr>
        <w:rPr>
          <w:color w:val="000000" w:themeColor="text1"/>
        </w:rPr>
      </w:pPr>
      <w:proofErr w:type="spellStart"/>
      <w:r w:rsidRPr="00C26EE7">
        <w:rPr>
          <w:i/>
          <w:iCs/>
          <w:color w:val="000000" w:themeColor="text1"/>
        </w:rPr>
        <w:t>pyDEA</w:t>
      </w:r>
      <w:proofErr w:type="spellEnd"/>
      <w:r w:rsidRPr="00C26EE7">
        <w:rPr>
          <w:color w:val="000000" w:themeColor="text1"/>
        </w:rPr>
        <w:t xml:space="preserve"> para estimação de DEA;</w:t>
      </w:r>
    </w:p>
    <w:p w14:paraId="724E686A" w14:textId="397DAE5D" w:rsidR="00D16D85" w:rsidRPr="00C26EE7" w:rsidRDefault="00D16D85" w:rsidP="00C26EE7">
      <w:pPr>
        <w:numPr>
          <w:ilvl w:val="0"/>
          <w:numId w:val="35"/>
        </w:numPr>
        <w:rPr>
          <w:color w:val="000000" w:themeColor="text1"/>
        </w:rPr>
      </w:pPr>
      <w:r>
        <w:rPr>
          <w:color w:val="000000" w:themeColor="text1"/>
        </w:rPr>
        <w:t xml:space="preserve">Indice </w:t>
      </w:r>
      <w:proofErr w:type="spellStart"/>
      <w:r w:rsidRPr="00D16D85">
        <w:rPr>
          <w:color w:val="000000" w:themeColor="text1"/>
        </w:rPr>
        <w:t>Malmquist</w:t>
      </w:r>
      <w:proofErr w:type="spellEnd"/>
      <w:r>
        <w:rPr>
          <w:color w:val="000000" w:themeColor="text1"/>
        </w:rPr>
        <w:t xml:space="preserve"> será calculado via</w:t>
      </w:r>
      <w:r w:rsidRPr="00D16D85">
        <w:rPr>
          <w:color w:val="000000" w:themeColor="text1"/>
        </w:rPr>
        <w:t xml:space="preserve"> rotinas próprias em Python (via programação linear com </w:t>
      </w:r>
      <w:proofErr w:type="spellStart"/>
      <w:r w:rsidRPr="00D16D85">
        <w:rPr>
          <w:i/>
          <w:iCs/>
          <w:color w:val="000000" w:themeColor="text1"/>
        </w:rPr>
        <w:t>cvxpy</w:t>
      </w:r>
      <w:proofErr w:type="spellEnd"/>
      <w:r w:rsidRPr="00D16D85">
        <w:rPr>
          <w:i/>
          <w:iCs/>
          <w:color w:val="000000" w:themeColor="text1"/>
        </w:rPr>
        <w:t>/</w:t>
      </w:r>
      <w:proofErr w:type="spellStart"/>
      <w:r w:rsidRPr="00D16D85">
        <w:rPr>
          <w:i/>
          <w:iCs/>
          <w:color w:val="000000" w:themeColor="text1"/>
        </w:rPr>
        <w:t>scipy.optimize</w:t>
      </w:r>
      <w:proofErr w:type="spellEnd"/>
      <w:r w:rsidRPr="00D16D85">
        <w:rPr>
          <w:color w:val="000000" w:themeColor="text1"/>
        </w:rPr>
        <w:t xml:space="preserve"> e funções-distância de </w:t>
      </w:r>
      <w:proofErr w:type="spellStart"/>
      <w:r w:rsidRPr="00D16D85">
        <w:rPr>
          <w:color w:val="000000" w:themeColor="text1"/>
        </w:rPr>
        <w:t>Färe</w:t>
      </w:r>
      <w:proofErr w:type="spellEnd"/>
      <w:r w:rsidRPr="00D16D85">
        <w:rPr>
          <w:color w:val="000000" w:themeColor="text1"/>
        </w:rPr>
        <w:t xml:space="preserve"> et al., 1994)</w:t>
      </w:r>
      <w:r w:rsidRPr="00C26EE7">
        <w:rPr>
          <w:color w:val="000000" w:themeColor="text1"/>
        </w:rPr>
        <w:t>;</w:t>
      </w:r>
    </w:p>
    <w:p w14:paraId="2DE04F8A" w14:textId="77777777" w:rsidR="00C26EE7" w:rsidRPr="00C26EE7" w:rsidRDefault="00C26EE7" w:rsidP="00C26EE7">
      <w:pPr>
        <w:numPr>
          <w:ilvl w:val="0"/>
          <w:numId w:val="35"/>
        </w:numPr>
        <w:rPr>
          <w:color w:val="000000" w:themeColor="text1"/>
        </w:rPr>
      </w:pPr>
      <w:proofErr w:type="spellStart"/>
      <w:r w:rsidRPr="00C26EE7">
        <w:rPr>
          <w:i/>
          <w:iCs/>
          <w:color w:val="000000" w:themeColor="text1"/>
        </w:rPr>
        <w:lastRenderedPageBreak/>
        <w:t>scikit-learn</w:t>
      </w:r>
      <w:proofErr w:type="spellEnd"/>
      <w:r w:rsidRPr="00C26EE7">
        <w:rPr>
          <w:color w:val="000000" w:themeColor="text1"/>
        </w:rPr>
        <w:t xml:space="preserve"> para implementação do K-</w:t>
      </w:r>
      <w:proofErr w:type="spellStart"/>
      <w:r w:rsidRPr="00C26EE7">
        <w:rPr>
          <w:color w:val="000000" w:themeColor="text1"/>
        </w:rPr>
        <w:t>means</w:t>
      </w:r>
      <w:proofErr w:type="spellEnd"/>
      <w:r w:rsidRPr="00C26EE7">
        <w:rPr>
          <w:color w:val="000000" w:themeColor="text1"/>
        </w:rPr>
        <w:t>, métricas de validação (</w:t>
      </w:r>
      <w:proofErr w:type="spellStart"/>
      <w:r w:rsidRPr="00C26EE7">
        <w:rPr>
          <w:color w:val="000000" w:themeColor="text1"/>
        </w:rPr>
        <w:t>silhouette</w:t>
      </w:r>
      <w:proofErr w:type="spellEnd"/>
      <w:r w:rsidRPr="00C26EE7">
        <w:rPr>
          <w:color w:val="000000" w:themeColor="text1"/>
        </w:rPr>
        <w:t xml:space="preserve">, </w:t>
      </w:r>
      <w:proofErr w:type="spellStart"/>
      <w:r w:rsidRPr="00C26EE7">
        <w:rPr>
          <w:color w:val="000000" w:themeColor="text1"/>
        </w:rPr>
        <w:t>inertia</w:t>
      </w:r>
      <w:proofErr w:type="spellEnd"/>
      <w:r w:rsidRPr="00C26EE7">
        <w:rPr>
          <w:color w:val="000000" w:themeColor="text1"/>
        </w:rPr>
        <w:t>) e testes de estabilidade;</w:t>
      </w:r>
    </w:p>
    <w:p w14:paraId="11582818" w14:textId="77777777" w:rsidR="00C26EE7" w:rsidRPr="00C26EE7" w:rsidRDefault="00C26EE7" w:rsidP="00C26EE7">
      <w:pPr>
        <w:numPr>
          <w:ilvl w:val="0"/>
          <w:numId w:val="35"/>
        </w:numPr>
        <w:rPr>
          <w:color w:val="000000" w:themeColor="text1"/>
        </w:rPr>
      </w:pPr>
      <w:proofErr w:type="spellStart"/>
      <w:r w:rsidRPr="00C26EE7">
        <w:rPr>
          <w:i/>
          <w:iCs/>
          <w:color w:val="000000" w:themeColor="text1"/>
        </w:rPr>
        <w:t>bootstrapped</w:t>
      </w:r>
      <w:proofErr w:type="spellEnd"/>
      <w:r w:rsidRPr="00C26EE7">
        <w:rPr>
          <w:i/>
          <w:iCs/>
          <w:color w:val="000000" w:themeColor="text1"/>
        </w:rPr>
        <w:t xml:space="preserve">, </w:t>
      </w:r>
      <w:proofErr w:type="spellStart"/>
      <w:r w:rsidRPr="00C26EE7">
        <w:rPr>
          <w:i/>
          <w:iCs/>
          <w:color w:val="000000" w:themeColor="text1"/>
        </w:rPr>
        <w:t>statsmodel</w:t>
      </w:r>
      <w:r w:rsidRPr="00C26EE7">
        <w:rPr>
          <w:color w:val="000000" w:themeColor="text1"/>
        </w:rPr>
        <w:t>s</w:t>
      </w:r>
      <w:proofErr w:type="spellEnd"/>
      <w:r w:rsidRPr="00C26EE7">
        <w:rPr>
          <w:color w:val="000000" w:themeColor="text1"/>
        </w:rPr>
        <w:t xml:space="preserve"> e funções customizadas em </w:t>
      </w:r>
      <w:proofErr w:type="spellStart"/>
      <w:r w:rsidRPr="00C26EE7">
        <w:rPr>
          <w:i/>
          <w:iCs/>
          <w:color w:val="000000" w:themeColor="text1"/>
        </w:rPr>
        <w:t>numpy</w:t>
      </w:r>
      <w:proofErr w:type="spellEnd"/>
      <w:r w:rsidRPr="00C26EE7">
        <w:rPr>
          <w:i/>
          <w:iCs/>
          <w:color w:val="000000" w:themeColor="text1"/>
        </w:rPr>
        <w:t>/</w:t>
      </w:r>
      <w:proofErr w:type="spellStart"/>
      <w:r w:rsidRPr="00C26EE7">
        <w:rPr>
          <w:i/>
          <w:iCs/>
          <w:color w:val="000000" w:themeColor="text1"/>
        </w:rPr>
        <w:t>scipy</w:t>
      </w:r>
      <w:proofErr w:type="spellEnd"/>
      <w:r w:rsidRPr="00C26EE7">
        <w:rPr>
          <w:i/>
          <w:iCs/>
          <w:color w:val="000000" w:themeColor="text1"/>
        </w:rPr>
        <w:t xml:space="preserve"> </w:t>
      </w:r>
      <w:r w:rsidRPr="00C26EE7">
        <w:rPr>
          <w:color w:val="000000" w:themeColor="text1"/>
        </w:rPr>
        <w:t xml:space="preserve">para a segunda etapa de regressão truncada com </w:t>
      </w:r>
      <w:proofErr w:type="spellStart"/>
      <w:r w:rsidRPr="00C26EE7">
        <w:rPr>
          <w:color w:val="000000" w:themeColor="text1"/>
        </w:rPr>
        <w:t>bootstrap</w:t>
      </w:r>
      <w:proofErr w:type="spellEnd"/>
      <w:r w:rsidRPr="00C26EE7">
        <w:rPr>
          <w:color w:val="000000" w:themeColor="text1"/>
        </w:rPr>
        <w:t xml:space="preserve"> </w:t>
      </w:r>
      <w:proofErr w:type="spellStart"/>
      <w:r w:rsidRPr="00C26EE7">
        <w:rPr>
          <w:color w:val="000000" w:themeColor="text1"/>
        </w:rPr>
        <w:t>Simar</w:t>
      </w:r>
      <w:proofErr w:type="spellEnd"/>
      <w:r w:rsidRPr="00C26EE7">
        <w:rPr>
          <w:color w:val="000000" w:themeColor="text1"/>
        </w:rPr>
        <w:t>–Wilson;</w:t>
      </w:r>
    </w:p>
    <w:p w14:paraId="7E06D4B7" w14:textId="77777777" w:rsidR="00C26EE7" w:rsidRPr="00C26EE7" w:rsidRDefault="00C26EE7" w:rsidP="00C26EE7">
      <w:pPr>
        <w:numPr>
          <w:ilvl w:val="0"/>
          <w:numId w:val="35"/>
        </w:numPr>
        <w:rPr>
          <w:color w:val="000000" w:themeColor="text1"/>
        </w:rPr>
      </w:pPr>
      <w:r w:rsidRPr="00C26EE7">
        <w:rPr>
          <w:i/>
          <w:iCs/>
          <w:color w:val="000000" w:themeColor="text1"/>
        </w:rPr>
        <w:t>pandas</w:t>
      </w:r>
      <w:r w:rsidRPr="00C26EE7">
        <w:rPr>
          <w:color w:val="000000" w:themeColor="text1"/>
        </w:rPr>
        <w:t xml:space="preserve">, </w:t>
      </w:r>
      <w:proofErr w:type="spellStart"/>
      <w:r w:rsidRPr="00C26EE7">
        <w:rPr>
          <w:i/>
          <w:iCs/>
          <w:color w:val="000000" w:themeColor="text1"/>
        </w:rPr>
        <w:t>numpy</w:t>
      </w:r>
      <w:proofErr w:type="spellEnd"/>
      <w:r w:rsidRPr="00C26EE7">
        <w:rPr>
          <w:color w:val="000000" w:themeColor="text1"/>
        </w:rPr>
        <w:t xml:space="preserve"> e </w:t>
      </w:r>
      <w:proofErr w:type="spellStart"/>
      <w:r w:rsidRPr="00C26EE7">
        <w:rPr>
          <w:i/>
          <w:iCs/>
          <w:color w:val="000000" w:themeColor="text1"/>
        </w:rPr>
        <w:t>polars</w:t>
      </w:r>
      <w:proofErr w:type="spellEnd"/>
      <w:r w:rsidRPr="00C26EE7">
        <w:rPr>
          <w:color w:val="000000" w:themeColor="text1"/>
        </w:rPr>
        <w:t xml:space="preserve"> para limpeza, transformação e manipulação das bases (SUFRAMA, RFB, RAIS);</w:t>
      </w:r>
    </w:p>
    <w:p w14:paraId="671B72EE" w14:textId="77777777" w:rsidR="00C26EE7" w:rsidRPr="00C26EE7" w:rsidRDefault="00C26EE7" w:rsidP="00C26EE7">
      <w:pPr>
        <w:numPr>
          <w:ilvl w:val="0"/>
          <w:numId w:val="35"/>
        </w:numPr>
        <w:rPr>
          <w:color w:val="000000" w:themeColor="text1"/>
        </w:rPr>
      </w:pPr>
      <w:proofErr w:type="spellStart"/>
      <w:r w:rsidRPr="00C26EE7">
        <w:rPr>
          <w:i/>
          <w:iCs/>
          <w:color w:val="000000" w:themeColor="text1"/>
        </w:rPr>
        <w:t>matplotlib</w:t>
      </w:r>
      <w:proofErr w:type="spellEnd"/>
      <w:r w:rsidRPr="00C26EE7">
        <w:rPr>
          <w:color w:val="000000" w:themeColor="text1"/>
        </w:rPr>
        <w:t xml:space="preserve"> e </w:t>
      </w:r>
      <w:proofErr w:type="spellStart"/>
      <w:r w:rsidRPr="00C26EE7">
        <w:rPr>
          <w:i/>
          <w:iCs/>
          <w:color w:val="000000" w:themeColor="text1"/>
        </w:rPr>
        <w:t>seaborn</w:t>
      </w:r>
      <w:proofErr w:type="spellEnd"/>
      <w:r w:rsidRPr="00C26EE7">
        <w:rPr>
          <w:color w:val="000000" w:themeColor="text1"/>
        </w:rPr>
        <w:t xml:space="preserve"> para visualização dos clusters, fronteiras de eficiência e trajetórias de produtividade.</w:t>
      </w:r>
    </w:p>
    <w:p w14:paraId="3C1F9593" w14:textId="77777777" w:rsidR="00C26EE7" w:rsidRPr="00C26EE7" w:rsidRDefault="00C26EE7" w:rsidP="00C26EE7">
      <w:pPr>
        <w:ind w:left="720"/>
        <w:rPr>
          <w:color w:val="000000" w:themeColor="text1"/>
        </w:rPr>
      </w:pPr>
    </w:p>
    <w:p w14:paraId="766581DD" w14:textId="43A83046" w:rsidR="00C26EE7" w:rsidRPr="00C26EE7" w:rsidRDefault="00C26EE7" w:rsidP="00C26EE7">
      <w:pPr>
        <w:ind w:firstLine="708"/>
        <w:rPr>
          <w:color w:val="000000" w:themeColor="text1"/>
        </w:rPr>
      </w:pPr>
      <w:r w:rsidRPr="00C26EE7">
        <w:rPr>
          <w:color w:val="000000" w:themeColor="text1"/>
        </w:rPr>
        <w:t>Por fim, t</w:t>
      </w:r>
      <w:r w:rsidRPr="00C26EE7">
        <w:rPr>
          <w:color w:val="000000" w:themeColor="text1"/>
        </w:rPr>
        <w:t xml:space="preserve">ransparência. Os códigos serão organizados em </w:t>
      </w:r>
      <w:r w:rsidRPr="00C26EE7">
        <w:rPr>
          <w:i/>
          <w:iCs/>
          <w:color w:val="000000" w:themeColor="text1"/>
        </w:rPr>
        <w:t>scripts</w:t>
      </w:r>
      <w:r w:rsidRPr="00C26EE7">
        <w:rPr>
          <w:color w:val="000000" w:themeColor="text1"/>
        </w:rPr>
        <w:t xml:space="preserve"> numerados e notebooks interativos, com registros de cada etapa de limpeza, merge e transformação de dados. A tabela de correspondência CNAE–subsetor será incluída como anexo metodológico, assegurando rastreabilidade total</w:t>
      </w:r>
      <w:r w:rsidRPr="00C26EE7">
        <w:rPr>
          <w:color w:val="000000" w:themeColor="text1"/>
        </w:rPr>
        <w:t xml:space="preserve"> e </w:t>
      </w:r>
      <w:r w:rsidRPr="00C26EE7">
        <w:rPr>
          <w:color w:val="000000" w:themeColor="text1"/>
        </w:rPr>
        <w:t>atende</w:t>
      </w:r>
      <w:r w:rsidRPr="00C26EE7">
        <w:rPr>
          <w:color w:val="000000" w:themeColor="text1"/>
        </w:rPr>
        <w:t>ndo</w:t>
      </w:r>
      <w:r w:rsidRPr="00C26EE7">
        <w:rPr>
          <w:color w:val="000000" w:themeColor="text1"/>
        </w:rPr>
        <w:t xml:space="preserve"> ao princípio de ciência aberta</w:t>
      </w:r>
      <w:r w:rsidRPr="00C26EE7">
        <w:t>.</w:t>
      </w:r>
    </w:p>
    <w:p w14:paraId="2A5D36B7" w14:textId="2F33F6FE" w:rsidR="00FF66E7" w:rsidRPr="00FF66E7" w:rsidRDefault="00FF66E7" w:rsidP="00FF66E7">
      <w:pPr>
        <w:ind w:firstLine="708"/>
        <w:rPr>
          <w:b/>
          <w:bCs/>
          <w:color w:val="000000" w:themeColor="text1"/>
        </w:rPr>
      </w:pPr>
    </w:p>
    <w:p w14:paraId="68CD73E7" w14:textId="77777777" w:rsidR="00D446D6" w:rsidRPr="00C84827" w:rsidRDefault="00D446D6" w:rsidP="00B14852">
      <w:pPr>
        <w:ind w:firstLine="708"/>
        <w:rPr>
          <w:color w:val="000000" w:themeColor="text1"/>
        </w:rPr>
      </w:pPr>
    </w:p>
    <w:p w14:paraId="4EFFDF57" w14:textId="77777777" w:rsidR="00D446D6" w:rsidRPr="00C84827" w:rsidRDefault="00D446D6" w:rsidP="00B14852">
      <w:pPr>
        <w:ind w:firstLine="708"/>
        <w:rPr>
          <w:color w:val="000000" w:themeColor="text1"/>
        </w:rPr>
      </w:pPr>
    </w:p>
    <w:p w14:paraId="5095AB05" w14:textId="77777777" w:rsidR="00397B0E" w:rsidRDefault="00397B0E" w:rsidP="00B14852">
      <w:pPr>
        <w:ind w:firstLine="708"/>
        <w:rPr>
          <w:color w:val="000000" w:themeColor="text1"/>
        </w:rPr>
      </w:pPr>
    </w:p>
    <w:p w14:paraId="0F986FEC" w14:textId="77777777" w:rsidR="00D16D85" w:rsidRDefault="00D16D85" w:rsidP="00B14852">
      <w:pPr>
        <w:ind w:firstLine="708"/>
        <w:rPr>
          <w:color w:val="000000" w:themeColor="text1"/>
        </w:rPr>
      </w:pPr>
    </w:p>
    <w:p w14:paraId="7A78C111" w14:textId="77777777" w:rsidR="00D16D85" w:rsidRDefault="00D16D85" w:rsidP="00B14852">
      <w:pPr>
        <w:ind w:firstLine="708"/>
        <w:rPr>
          <w:color w:val="000000" w:themeColor="text1"/>
        </w:rPr>
      </w:pPr>
    </w:p>
    <w:p w14:paraId="0E5CAE66" w14:textId="77777777" w:rsidR="00D16D85" w:rsidRDefault="00D16D85" w:rsidP="00B14852">
      <w:pPr>
        <w:ind w:firstLine="708"/>
        <w:rPr>
          <w:color w:val="000000" w:themeColor="text1"/>
        </w:rPr>
      </w:pPr>
    </w:p>
    <w:p w14:paraId="242757F7" w14:textId="77777777" w:rsidR="00D16D85" w:rsidRDefault="00D16D85" w:rsidP="00B14852">
      <w:pPr>
        <w:ind w:firstLine="708"/>
        <w:rPr>
          <w:color w:val="000000" w:themeColor="text1"/>
        </w:rPr>
      </w:pPr>
    </w:p>
    <w:p w14:paraId="35556274" w14:textId="77777777" w:rsidR="00D16D85" w:rsidRDefault="00D16D85" w:rsidP="00B14852">
      <w:pPr>
        <w:ind w:firstLine="708"/>
        <w:rPr>
          <w:color w:val="000000" w:themeColor="text1"/>
        </w:rPr>
      </w:pPr>
    </w:p>
    <w:p w14:paraId="753A9F0E" w14:textId="77777777" w:rsidR="00D16D85" w:rsidRDefault="00D16D85" w:rsidP="00B14852">
      <w:pPr>
        <w:ind w:firstLine="708"/>
        <w:rPr>
          <w:color w:val="000000" w:themeColor="text1"/>
        </w:rPr>
      </w:pPr>
    </w:p>
    <w:p w14:paraId="21D6277F" w14:textId="77777777" w:rsidR="00D16D85" w:rsidRDefault="00D16D85" w:rsidP="00B14852">
      <w:pPr>
        <w:ind w:firstLine="708"/>
        <w:rPr>
          <w:color w:val="000000" w:themeColor="text1"/>
        </w:rPr>
      </w:pPr>
    </w:p>
    <w:p w14:paraId="7128FD86" w14:textId="77777777" w:rsidR="00D16D85" w:rsidRDefault="00D16D85" w:rsidP="00B14852">
      <w:pPr>
        <w:ind w:firstLine="708"/>
        <w:rPr>
          <w:color w:val="000000" w:themeColor="text1"/>
        </w:rPr>
      </w:pPr>
    </w:p>
    <w:p w14:paraId="3A76A310" w14:textId="77777777" w:rsidR="00D16D85" w:rsidRDefault="00D16D85" w:rsidP="00B14852">
      <w:pPr>
        <w:ind w:firstLine="708"/>
        <w:rPr>
          <w:color w:val="000000" w:themeColor="text1"/>
        </w:rPr>
      </w:pPr>
    </w:p>
    <w:p w14:paraId="4E304EB6" w14:textId="77777777" w:rsidR="00D16D85" w:rsidRDefault="00D16D85" w:rsidP="00B14852">
      <w:pPr>
        <w:ind w:firstLine="708"/>
        <w:rPr>
          <w:color w:val="000000" w:themeColor="text1"/>
        </w:rPr>
      </w:pPr>
    </w:p>
    <w:p w14:paraId="2AE260B3" w14:textId="77777777" w:rsidR="00D16D85" w:rsidRPr="00C84827" w:rsidRDefault="00D16D85" w:rsidP="00B14852">
      <w:pPr>
        <w:ind w:firstLine="708"/>
        <w:rPr>
          <w:color w:val="000000" w:themeColor="text1"/>
        </w:rPr>
      </w:pPr>
    </w:p>
    <w:p w14:paraId="4CF95D6D" w14:textId="77777777" w:rsidR="00397B0E" w:rsidRPr="00C84827" w:rsidRDefault="00397B0E" w:rsidP="00B14852">
      <w:pPr>
        <w:ind w:firstLine="708"/>
        <w:rPr>
          <w:color w:val="000000" w:themeColor="text1"/>
        </w:rPr>
      </w:pPr>
    </w:p>
    <w:p w14:paraId="10A72863" w14:textId="77777777" w:rsidR="00CE6A6B" w:rsidRDefault="00CE6A6B" w:rsidP="001609AF">
      <w:pPr>
        <w:rPr>
          <w:color w:val="000000" w:themeColor="text1"/>
        </w:rPr>
      </w:pPr>
    </w:p>
    <w:p w14:paraId="2BF37925" w14:textId="77777777" w:rsidR="00D16D85" w:rsidRPr="00C84827" w:rsidRDefault="00D16D85" w:rsidP="001609AF">
      <w:pPr>
        <w:rPr>
          <w:color w:val="000000" w:themeColor="text1"/>
        </w:rPr>
      </w:pPr>
    </w:p>
    <w:p w14:paraId="002FE555" w14:textId="77777777" w:rsidR="00DE3815" w:rsidRPr="00C84827" w:rsidRDefault="00DE3815" w:rsidP="00710EAE"/>
    <w:p w14:paraId="3DDAF247" w14:textId="24A7FB8B" w:rsidR="006904A8" w:rsidRPr="00304675" w:rsidRDefault="005C6ACD" w:rsidP="00CA739C">
      <w:pPr>
        <w:pStyle w:val="Ttulo1"/>
        <w:numPr>
          <w:ilvl w:val="0"/>
          <w:numId w:val="0"/>
        </w:numPr>
        <w:ind w:left="284"/>
        <w:jc w:val="center"/>
        <w:rPr>
          <w:caps w:val="0"/>
        </w:rPr>
      </w:pPr>
      <w:bookmarkStart w:id="30" w:name="_Toc210058182"/>
      <w:r w:rsidRPr="00304675">
        <w:rPr>
          <w:caps w:val="0"/>
        </w:rPr>
        <w:lastRenderedPageBreak/>
        <w:t>REFERÊNCIAS</w:t>
      </w:r>
      <w:bookmarkEnd w:id="5"/>
      <w:bookmarkEnd w:id="30"/>
    </w:p>
    <w:p w14:paraId="165C17E4" w14:textId="77777777" w:rsidR="00EC438A" w:rsidRPr="00304675" w:rsidRDefault="00EC438A" w:rsidP="00EC438A"/>
    <w:p w14:paraId="774A9012" w14:textId="43F79D61" w:rsidR="00F97AF0" w:rsidRPr="00F97AF0" w:rsidRDefault="00F97AF0" w:rsidP="00F97AF0">
      <w:pPr>
        <w:rPr>
          <w:color w:val="000000" w:themeColor="text1"/>
        </w:rPr>
      </w:pPr>
      <w:r w:rsidRPr="00F97AF0">
        <w:rPr>
          <w:color w:val="000000" w:themeColor="text1"/>
        </w:rPr>
        <w:t xml:space="preserve">ALMEIDA, A. T. C.; GASPARINI, C. E. </w:t>
      </w:r>
      <w:r w:rsidRPr="007675D4">
        <w:rPr>
          <w:color w:val="000000" w:themeColor="text1"/>
        </w:rPr>
        <w:t>Gastos Públicos Municipais e Educação Fundamental na Paraíba: Uma Avaliação usando DEA</w:t>
      </w:r>
      <w:r w:rsidRPr="00F97AF0">
        <w:rPr>
          <w:b/>
          <w:bCs/>
          <w:color w:val="000000" w:themeColor="text1"/>
        </w:rPr>
        <w:t>.</w:t>
      </w:r>
      <w:r w:rsidRPr="00F97AF0">
        <w:rPr>
          <w:color w:val="000000" w:themeColor="text1"/>
        </w:rPr>
        <w:t xml:space="preserve"> </w:t>
      </w:r>
      <w:r w:rsidRPr="007675D4">
        <w:rPr>
          <w:b/>
          <w:bCs/>
          <w:color w:val="000000" w:themeColor="text1"/>
        </w:rPr>
        <w:t>Documentos técnico-científicos</w:t>
      </w:r>
      <w:r w:rsidRPr="00F97AF0">
        <w:rPr>
          <w:color w:val="000000" w:themeColor="text1"/>
        </w:rPr>
        <w:t>. João Pessoa: UFPB, 2011.</w:t>
      </w:r>
    </w:p>
    <w:p w14:paraId="028603CB" w14:textId="77777777" w:rsidR="00F97AF0" w:rsidRPr="00F97AF0" w:rsidRDefault="00F97AF0" w:rsidP="00F97AF0">
      <w:pPr>
        <w:rPr>
          <w:color w:val="000000" w:themeColor="text1"/>
        </w:rPr>
      </w:pPr>
    </w:p>
    <w:p w14:paraId="6A4C42F5" w14:textId="73DCFDB9" w:rsidR="00F97AF0" w:rsidRPr="00F97AF0" w:rsidRDefault="000126FE" w:rsidP="00F97AF0">
      <w:pPr>
        <w:rPr>
          <w:color w:val="000000" w:themeColor="text1"/>
          <w:lang w:val="en-US"/>
        </w:rPr>
      </w:pPr>
      <w:r w:rsidRPr="000126FE">
        <w:rPr>
          <w:color w:val="000000" w:themeColor="text1"/>
        </w:rPr>
        <w:t xml:space="preserve">BANCO MUNDIAL. Equilíbrio delicado para a Amazônia Legal Brasileira: um memorando econômico. </w:t>
      </w:r>
      <w:r w:rsidRPr="00433A31">
        <w:rPr>
          <w:color w:val="000000" w:themeColor="text1"/>
          <w:lang w:val="en-US"/>
        </w:rPr>
        <w:t xml:space="preserve">Washington, DC: </w:t>
      </w:r>
      <w:r w:rsidRPr="00433A31">
        <w:rPr>
          <w:b/>
          <w:bCs/>
          <w:color w:val="000000" w:themeColor="text1"/>
          <w:lang w:val="en-US"/>
        </w:rPr>
        <w:t>Banco Mundial</w:t>
      </w:r>
      <w:r w:rsidRPr="00433A31">
        <w:rPr>
          <w:color w:val="000000" w:themeColor="text1"/>
          <w:lang w:val="en-US"/>
        </w:rPr>
        <w:t>, 2023. DOI: 10.1596/978‑1‑4648‑1913‑1.</w:t>
      </w:r>
    </w:p>
    <w:p w14:paraId="0AB1A466" w14:textId="77777777" w:rsidR="00F97AF0" w:rsidRPr="00F97AF0" w:rsidRDefault="00F97AF0" w:rsidP="00F97AF0">
      <w:pPr>
        <w:rPr>
          <w:color w:val="000000" w:themeColor="text1"/>
          <w:lang w:val="en-US"/>
        </w:rPr>
      </w:pPr>
    </w:p>
    <w:p w14:paraId="05218D7C" w14:textId="73023A2D" w:rsidR="00F97AF0" w:rsidRPr="00097A11" w:rsidRDefault="00F97AF0" w:rsidP="00F97AF0">
      <w:pPr>
        <w:rPr>
          <w:color w:val="000000" w:themeColor="text1"/>
        </w:rPr>
      </w:pPr>
      <w:r w:rsidRPr="00F97AF0">
        <w:rPr>
          <w:color w:val="000000" w:themeColor="text1"/>
          <w:lang w:val="en-US"/>
        </w:rPr>
        <w:t xml:space="preserve">CHARNES, A.; COOPER, W. W.; RHODES, E. Measuring the efficiency of </w:t>
      </w:r>
      <w:proofErr w:type="gramStart"/>
      <w:r w:rsidRPr="00F97AF0">
        <w:rPr>
          <w:color w:val="000000" w:themeColor="text1"/>
          <w:lang w:val="en-US"/>
        </w:rPr>
        <w:t>decision making</w:t>
      </w:r>
      <w:proofErr w:type="gramEnd"/>
      <w:r w:rsidRPr="00F97AF0">
        <w:rPr>
          <w:color w:val="000000" w:themeColor="text1"/>
          <w:lang w:val="en-US"/>
        </w:rPr>
        <w:t xml:space="preserve"> units. </w:t>
      </w:r>
      <w:r w:rsidRPr="00B14852">
        <w:rPr>
          <w:b/>
          <w:bCs/>
          <w:color w:val="000000" w:themeColor="text1"/>
          <w:lang w:val="en-US"/>
        </w:rPr>
        <w:t>European Journal of Operational Research</w:t>
      </w:r>
      <w:r w:rsidRPr="00F97AF0">
        <w:rPr>
          <w:color w:val="000000" w:themeColor="text1"/>
          <w:lang w:val="en-US"/>
        </w:rPr>
        <w:t xml:space="preserve">, [S. l.], v. 2, n. 6, p. 429–444, 1978. </w:t>
      </w:r>
      <w:r w:rsidRPr="00097A11">
        <w:rPr>
          <w:color w:val="000000" w:themeColor="text1"/>
        </w:rPr>
        <w:t>DOI: 10.1016/0377-2217(78)90138-8.</w:t>
      </w:r>
    </w:p>
    <w:p w14:paraId="723C869C" w14:textId="77777777" w:rsidR="00F97AF0" w:rsidRPr="00097A11" w:rsidRDefault="00F97AF0" w:rsidP="00F97AF0">
      <w:pPr>
        <w:rPr>
          <w:color w:val="000000" w:themeColor="text1"/>
        </w:rPr>
      </w:pPr>
    </w:p>
    <w:p w14:paraId="733D8365" w14:textId="77777777" w:rsidR="00F97AF0" w:rsidRPr="00F97AF0" w:rsidRDefault="00F97AF0" w:rsidP="00F97AF0">
      <w:pPr>
        <w:rPr>
          <w:color w:val="000000" w:themeColor="text1"/>
        </w:rPr>
      </w:pPr>
      <w:r w:rsidRPr="00097A11">
        <w:rPr>
          <w:b/>
          <w:bCs/>
          <w:color w:val="000000" w:themeColor="text1"/>
        </w:rPr>
        <w:t>CLIMATE POLICY INITIATIVE – CPI/PUC-RIO.</w:t>
      </w:r>
      <w:r w:rsidRPr="00097A11">
        <w:rPr>
          <w:color w:val="000000" w:themeColor="text1"/>
        </w:rPr>
        <w:t xml:space="preserve"> </w:t>
      </w:r>
      <w:r w:rsidRPr="00F97AF0">
        <w:rPr>
          <w:color w:val="000000" w:themeColor="text1"/>
        </w:rPr>
        <w:t>A Zona Franca de Manaus tem impacto na eficiência da indústria? Rio de Janeiro: CPI, 2023.</w:t>
      </w:r>
    </w:p>
    <w:p w14:paraId="7F7A2827" w14:textId="77777777" w:rsidR="00F97AF0" w:rsidRPr="00F97AF0" w:rsidRDefault="00F97AF0" w:rsidP="00F97AF0">
      <w:pPr>
        <w:rPr>
          <w:color w:val="000000" w:themeColor="text1"/>
        </w:rPr>
      </w:pPr>
    </w:p>
    <w:p w14:paraId="0C636937" w14:textId="77777777" w:rsidR="00F97AF0" w:rsidRPr="00F97AF0" w:rsidRDefault="00F97AF0" w:rsidP="00F97AF0">
      <w:pPr>
        <w:rPr>
          <w:color w:val="000000" w:themeColor="text1"/>
          <w:lang w:val="en-US"/>
        </w:rPr>
      </w:pPr>
      <w:r w:rsidRPr="00F97AF0">
        <w:rPr>
          <w:color w:val="000000" w:themeColor="text1"/>
        </w:rPr>
        <w:t xml:space="preserve">HOLLAND, M.; MANSANO, A.; CAMPOS, F. </w:t>
      </w:r>
      <w:r w:rsidRPr="00F97AF0">
        <w:rPr>
          <w:b/>
          <w:bCs/>
          <w:color w:val="000000" w:themeColor="text1"/>
        </w:rPr>
        <w:t>Avaliação dos impactos socioeconômicos da Zona Franca de Manaus.</w:t>
      </w:r>
      <w:r w:rsidRPr="00F97AF0">
        <w:rPr>
          <w:color w:val="000000" w:themeColor="text1"/>
        </w:rPr>
        <w:t xml:space="preserve"> </w:t>
      </w:r>
      <w:r w:rsidRPr="00F97AF0">
        <w:rPr>
          <w:color w:val="000000" w:themeColor="text1"/>
          <w:lang w:val="en-US"/>
        </w:rPr>
        <w:t>Rio de Janeiro: FGV/EESP, 2019.</w:t>
      </w:r>
    </w:p>
    <w:p w14:paraId="5CC81EFF" w14:textId="77777777" w:rsidR="00F97AF0" w:rsidRPr="00F97AF0" w:rsidRDefault="00F97AF0" w:rsidP="00F97AF0">
      <w:pPr>
        <w:rPr>
          <w:color w:val="000000" w:themeColor="text1"/>
          <w:lang w:val="en-US"/>
        </w:rPr>
      </w:pPr>
    </w:p>
    <w:p w14:paraId="045A0970" w14:textId="77777777" w:rsidR="00F97AF0" w:rsidRPr="00F97AF0" w:rsidRDefault="00F97AF0" w:rsidP="00F97AF0">
      <w:pPr>
        <w:rPr>
          <w:color w:val="000000" w:themeColor="text1"/>
          <w:lang w:val="en-US"/>
        </w:rPr>
      </w:pPr>
      <w:r w:rsidRPr="00F97AF0">
        <w:rPr>
          <w:color w:val="000000" w:themeColor="text1"/>
          <w:lang w:val="en-US"/>
        </w:rPr>
        <w:t xml:space="preserve">JAIN, A. K. Data clustering: 50 years beyond K-means. </w:t>
      </w:r>
      <w:r w:rsidRPr="00F97AF0">
        <w:rPr>
          <w:b/>
          <w:bCs/>
          <w:color w:val="000000" w:themeColor="text1"/>
          <w:lang w:val="en-US"/>
        </w:rPr>
        <w:t>Pattern Recognition Letters</w:t>
      </w:r>
      <w:r w:rsidRPr="00F97AF0">
        <w:rPr>
          <w:color w:val="000000" w:themeColor="text1"/>
          <w:lang w:val="en-US"/>
        </w:rPr>
        <w:t>, v.31, n.8, p.651-666, 2010.</w:t>
      </w:r>
    </w:p>
    <w:p w14:paraId="55779F48" w14:textId="77777777" w:rsidR="00F97AF0" w:rsidRPr="00097A11" w:rsidRDefault="00F97AF0" w:rsidP="00F97AF0">
      <w:pPr>
        <w:rPr>
          <w:color w:val="000000" w:themeColor="text1"/>
          <w:lang w:val="en-US"/>
        </w:rPr>
      </w:pPr>
    </w:p>
    <w:p w14:paraId="456E109D" w14:textId="1C7E29D1" w:rsidR="00EE20AB" w:rsidRPr="00D61021" w:rsidRDefault="00EE20AB" w:rsidP="00EE20AB">
      <w:pPr>
        <w:rPr>
          <w:color w:val="000000" w:themeColor="text1"/>
          <w:lang w:val="en-US"/>
        </w:rPr>
      </w:pPr>
      <w:r w:rsidRPr="00EE20AB">
        <w:rPr>
          <w:color w:val="000000" w:themeColor="text1"/>
        </w:rPr>
        <w:t xml:space="preserve">ASSUNÇÃO, Juliano; HOLZ, </w:t>
      </w:r>
      <w:proofErr w:type="spellStart"/>
      <w:r w:rsidRPr="00EE20AB">
        <w:rPr>
          <w:color w:val="000000" w:themeColor="text1"/>
        </w:rPr>
        <w:t>Rhayana</w:t>
      </w:r>
      <w:proofErr w:type="spellEnd"/>
      <w:r w:rsidRPr="00EE20AB">
        <w:rPr>
          <w:color w:val="000000" w:themeColor="text1"/>
        </w:rPr>
        <w:t xml:space="preserve">; SCHUTZE, Amanda. A Zona Franca de Manaus tem impacto na eficiência da indústria? </w:t>
      </w:r>
      <w:r w:rsidRPr="00D61021">
        <w:rPr>
          <w:color w:val="000000" w:themeColor="text1"/>
          <w:lang w:val="en-US"/>
        </w:rPr>
        <w:t xml:space="preserve">Rio de Janeiro: </w:t>
      </w:r>
      <w:r w:rsidRPr="00D61021">
        <w:rPr>
          <w:b/>
          <w:bCs/>
          <w:color w:val="000000" w:themeColor="text1"/>
          <w:lang w:val="en-US"/>
        </w:rPr>
        <w:t>Climate Policy Initiative</w:t>
      </w:r>
      <w:r w:rsidRPr="00D61021">
        <w:rPr>
          <w:color w:val="000000" w:themeColor="text1"/>
          <w:lang w:val="en-US"/>
        </w:rPr>
        <w:t>, 2020.</w:t>
      </w:r>
    </w:p>
    <w:p w14:paraId="3E8CA0DE" w14:textId="77777777" w:rsidR="00FB4461" w:rsidRPr="00D61021" w:rsidRDefault="00FB4461" w:rsidP="00EE20AB">
      <w:pPr>
        <w:rPr>
          <w:color w:val="000000" w:themeColor="text1"/>
          <w:lang w:val="en-US"/>
        </w:rPr>
      </w:pPr>
    </w:p>
    <w:p w14:paraId="2792A270" w14:textId="77777777" w:rsidR="00FB4461" w:rsidRPr="00FB4461" w:rsidRDefault="00FB4461" w:rsidP="00FB4461">
      <w:pPr>
        <w:rPr>
          <w:color w:val="000000" w:themeColor="text1"/>
          <w:lang w:val="en-US"/>
        </w:rPr>
      </w:pPr>
      <w:r w:rsidRPr="00FB4461">
        <w:rPr>
          <w:color w:val="000000" w:themeColor="text1"/>
          <w:lang w:val="en-US"/>
        </w:rPr>
        <w:t xml:space="preserve">FÄRE, R.; GROSSKOPF, S.; NORRIS, M.; ZHANG, Z. Productivity growth, technical progress, and efficiency change in industrialized countries. </w:t>
      </w:r>
      <w:r w:rsidRPr="00FB4461">
        <w:rPr>
          <w:b/>
          <w:bCs/>
          <w:color w:val="000000" w:themeColor="text1"/>
          <w:lang w:val="en-US"/>
        </w:rPr>
        <w:t>American Economic Review</w:t>
      </w:r>
      <w:r w:rsidRPr="00FB4461">
        <w:rPr>
          <w:color w:val="000000" w:themeColor="text1"/>
          <w:lang w:val="en-US"/>
        </w:rPr>
        <w:t>, v. 84, n. 1, p. 66‑83, 1994.</w:t>
      </w:r>
    </w:p>
    <w:p w14:paraId="3F6E740F" w14:textId="77777777" w:rsidR="00FB4461" w:rsidRPr="00FB4461" w:rsidRDefault="00FB4461" w:rsidP="00FB4461">
      <w:pPr>
        <w:rPr>
          <w:color w:val="000000" w:themeColor="text1"/>
          <w:lang w:val="en-US"/>
        </w:rPr>
      </w:pPr>
    </w:p>
    <w:p w14:paraId="0B674755" w14:textId="77777777" w:rsidR="00FB4461" w:rsidRPr="00FB4461" w:rsidRDefault="00FB4461" w:rsidP="00FB4461">
      <w:pPr>
        <w:rPr>
          <w:color w:val="000000" w:themeColor="text1"/>
          <w:lang w:val="en-US"/>
        </w:rPr>
      </w:pPr>
      <w:r w:rsidRPr="00FB4461">
        <w:rPr>
          <w:color w:val="000000" w:themeColor="text1"/>
          <w:lang w:val="en-US"/>
        </w:rPr>
        <w:t xml:space="preserve">SIMAR, L.; WILSON, P. W. Estimation and inference in two‑stage, semi‑parametric models of production processes. </w:t>
      </w:r>
      <w:r w:rsidRPr="00FB4461">
        <w:rPr>
          <w:b/>
          <w:bCs/>
          <w:color w:val="000000" w:themeColor="text1"/>
          <w:lang w:val="en-US"/>
        </w:rPr>
        <w:t>Journal of Econometrics</w:t>
      </w:r>
      <w:r w:rsidRPr="00FB4461">
        <w:rPr>
          <w:color w:val="000000" w:themeColor="text1"/>
          <w:lang w:val="en-US"/>
        </w:rPr>
        <w:t>, v. 136, n. 1, p. 31‑64, 2007.</w:t>
      </w:r>
    </w:p>
    <w:p w14:paraId="1428403A" w14:textId="77777777" w:rsidR="00FB4461" w:rsidRPr="00FB4461" w:rsidRDefault="00FB4461" w:rsidP="00FB4461">
      <w:pPr>
        <w:rPr>
          <w:color w:val="000000" w:themeColor="text1"/>
          <w:lang w:val="en-US"/>
        </w:rPr>
      </w:pPr>
    </w:p>
    <w:p w14:paraId="1E62FB2D" w14:textId="6734BB52" w:rsidR="00FB4461" w:rsidRDefault="00FB4461" w:rsidP="00FB4461">
      <w:pPr>
        <w:rPr>
          <w:color w:val="000000" w:themeColor="text1"/>
          <w:lang w:val="en-US"/>
        </w:rPr>
      </w:pPr>
      <w:r w:rsidRPr="00FB4461">
        <w:rPr>
          <w:color w:val="000000" w:themeColor="text1"/>
          <w:lang w:val="en-US"/>
        </w:rPr>
        <w:lastRenderedPageBreak/>
        <w:t xml:space="preserve">SAMOILENKO, S.; OSEI‑BRYCE, K.‑M. Combining cluster analysis and data envelopment analysis to assess performance heterogeneity: evidence from emerging economies. </w:t>
      </w:r>
      <w:r w:rsidRPr="00FB4461">
        <w:rPr>
          <w:b/>
          <w:bCs/>
          <w:color w:val="000000" w:themeColor="text1"/>
          <w:lang w:val="en-US"/>
        </w:rPr>
        <w:t>Journal of High Technology Management Research</w:t>
      </w:r>
      <w:r w:rsidRPr="00FB4461">
        <w:rPr>
          <w:color w:val="000000" w:themeColor="text1"/>
          <w:lang w:val="en-US"/>
        </w:rPr>
        <w:t>, v. 24, n. 2, p. 112‑125, 2013.</w:t>
      </w:r>
    </w:p>
    <w:p w14:paraId="7DAB511C" w14:textId="77777777" w:rsidR="000E1B64" w:rsidRPr="00E72418" w:rsidRDefault="000E1B64" w:rsidP="00FB4461">
      <w:pPr>
        <w:rPr>
          <w:color w:val="000000" w:themeColor="text1"/>
          <w:lang w:val="en-US"/>
        </w:rPr>
      </w:pPr>
    </w:p>
    <w:p w14:paraId="7630E9B7" w14:textId="3EA82770" w:rsidR="00650B4A" w:rsidRDefault="000E1B64" w:rsidP="00FB4461">
      <w:pPr>
        <w:rPr>
          <w:color w:val="000000" w:themeColor="text1"/>
        </w:rPr>
      </w:pPr>
      <w:r w:rsidRPr="000E1B64">
        <w:rPr>
          <w:color w:val="000000" w:themeColor="text1"/>
        </w:rPr>
        <w:t xml:space="preserve">BOLOGNESE, C. J. S. </w:t>
      </w:r>
      <w:r w:rsidRPr="000E1B64">
        <w:rPr>
          <w:b/>
          <w:bCs/>
          <w:color w:val="000000" w:themeColor="text1"/>
        </w:rPr>
        <w:t>Zona Franca de Manaus em uma análise de clusters segundo suas divisões em subsetores.</w:t>
      </w:r>
      <w:r w:rsidRPr="000E1B64">
        <w:rPr>
          <w:color w:val="000000" w:themeColor="text1"/>
        </w:rPr>
        <w:t xml:space="preserve"> Monografia (Bacharelado em Ciências Econômicas) – Universidade Federal do Amazonas, Manaus, 2024.</w:t>
      </w:r>
    </w:p>
    <w:p w14:paraId="3C3119DB" w14:textId="77777777" w:rsidR="00811DCC" w:rsidRDefault="00811DCC" w:rsidP="00FB4461">
      <w:pPr>
        <w:rPr>
          <w:color w:val="000000" w:themeColor="text1"/>
        </w:rPr>
      </w:pPr>
    </w:p>
    <w:p w14:paraId="797160E4" w14:textId="6069B4DD" w:rsidR="00811DCC" w:rsidRDefault="00811DCC" w:rsidP="00811DCC">
      <w:pPr>
        <w:rPr>
          <w:color w:val="000000" w:themeColor="text1"/>
          <w:lang w:val="en-US"/>
        </w:rPr>
      </w:pPr>
      <w:r w:rsidRPr="00811DCC">
        <w:rPr>
          <w:color w:val="000000" w:themeColor="text1"/>
          <w:lang w:val="en-US"/>
        </w:rPr>
        <w:t xml:space="preserve">ACEMOGLU, D.; RESTREPO, P. Robots and Jobs: Evidence from US Labor Markets. </w:t>
      </w:r>
      <w:r w:rsidRPr="00811DCC">
        <w:rPr>
          <w:b/>
          <w:bCs/>
          <w:color w:val="000000" w:themeColor="text1"/>
          <w:lang w:val="en-US"/>
        </w:rPr>
        <w:t>Journal of Political Economy</w:t>
      </w:r>
      <w:r w:rsidRPr="00811DCC">
        <w:rPr>
          <w:color w:val="000000" w:themeColor="text1"/>
          <w:lang w:val="en-US"/>
        </w:rPr>
        <w:t>, v. 127, n. 6, p. 2188‑2244, 2019.</w:t>
      </w:r>
    </w:p>
    <w:p w14:paraId="5B900E95" w14:textId="77777777" w:rsidR="007540E2" w:rsidRDefault="007540E2" w:rsidP="00811DCC">
      <w:pPr>
        <w:rPr>
          <w:color w:val="000000" w:themeColor="text1"/>
          <w:lang w:val="en-US"/>
        </w:rPr>
      </w:pPr>
    </w:p>
    <w:p w14:paraId="6CD7468D" w14:textId="1C08AB2D" w:rsidR="00811DCC" w:rsidRPr="00811DCC" w:rsidRDefault="00811DCC" w:rsidP="00811DCC">
      <w:pPr>
        <w:rPr>
          <w:color w:val="000000" w:themeColor="text1"/>
          <w:lang w:val="en-US"/>
        </w:rPr>
      </w:pPr>
      <w:r w:rsidRPr="00811DCC">
        <w:rPr>
          <w:color w:val="000000" w:themeColor="text1"/>
          <w:lang w:val="en-US"/>
        </w:rPr>
        <w:t xml:space="preserve">DORN, D.; HANSON, G. On the Persistence of the China Shock. </w:t>
      </w:r>
      <w:r w:rsidRPr="00811DCC">
        <w:rPr>
          <w:b/>
          <w:bCs/>
          <w:color w:val="000000" w:themeColor="text1"/>
          <w:lang w:val="en-US"/>
        </w:rPr>
        <w:t>Brookings Papers on Economic Activity</w:t>
      </w:r>
      <w:r w:rsidRPr="00811DCC">
        <w:rPr>
          <w:color w:val="000000" w:themeColor="text1"/>
          <w:lang w:val="en-US"/>
        </w:rPr>
        <w:t>, 2020.</w:t>
      </w:r>
    </w:p>
    <w:p w14:paraId="49585602" w14:textId="77777777" w:rsidR="000E1B64" w:rsidRPr="00811DCC" w:rsidRDefault="000E1B64" w:rsidP="00FB4461">
      <w:pPr>
        <w:rPr>
          <w:color w:val="000000" w:themeColor="text1"/>
          <w:lang w:val="en-US"/>
        </w:rPr>
      </w:pPr>
    </w:p>
    <w:p w14:paraId="59FC13B1" w14:textId="46EA83F1" w:rsidR="00650B4A" w:rsidRPr="00650B4A" w:rsidRDefault="00650B4A" w:rsidP="00650B4A">
      <w:pPr>
        <w:rPr>
          <w:color w:val="000000" w:themeColor="text1"/>
        </w:rPr>
      </w:pPr>
      <w:r w:rsidRPr="00650B4A">
        <w:rPr>
          <w:b/>
          <w:bCs/>
          <w:color w:val="000000" w:themeColor="text1"/>
        </w:rPr>
        <w:t>SUFRAMA</w:t>
      </w:r>
      <w:r w:rsidRPr="00650B4A">
        <w:rPr>
          <w:color w:val="000000" w:themeColor="text1"/>
        </w:rPr>
        <w:t xml:space="preserve">. Relatório Anual de Atividades </w:t>
      </w:r>
      <w:r w:rsidR="000E1B64" w:rsidRPr="000E1B64">
        <w:rPr>
          <w:color w:val="000000" w:themeColor="text1"/>
        </w:rPr>
        <w:t>(2018‑2023</w:t>
      </w:r>
      <w:r w:rsidR="000E1B64">
        <w:rPr>
          <w:color w:val="000000" w:themeColor="text1"/>
        </w:rPr>
        <w:t>)</w:t>
      </w:r>
      <w:r w:rsidRPr="00650B4A">
        <w:rPr>
          <w:color w:val="000000" w:themeColor="text1"/>
        </w:rPr>
        <w:t xml:space="preserve">. Manaus: Superintendência da Zona Franca de Manaus, </w:t>
      </w:r>
      <w:r w:rsidR="000E1B64" w:rsidRPr="000E1B64">
        <w:rPr>
          <w:color w:val="000000" w:themeColor="text1"/>
        </w:rPr>
        <w:t>vários anos</w:t>
      </w:r>
      <w:r w:rsidRPr="00650B4A">
        <w:rPr>
          <w:color w:val="000000" w:themeColor="text1"/>
        </w:rPr>
        <w:t>.</w:t>
      </w:r>
    </w:p>
    <w:p w14:paraId="368C53F4" w14:textId="77777777" w:rsidR="00650B4A" w:rsidRPr="00650B4A" w:rsidRDefault="00650B4A" w:rsidP="00650B4A">
      <w:pPr>
        <w:rPr>
          <w:color w:val="000000" w:themeColor="text1"/>
        </w:rPr>
      </w:pPr>
    </w:p>
    <w:p w14:paraId="407D8BA3" w14:textId="02F2417D" w:rsidR="00650B4A" w:rsidRPr="00650B4A" w:rsidRDefault="00650B4A" w:rsidP="00650B4A">
      <w:pPr>
        <w:rPr>
          <w:color w:val="000000" w:themeColor="text1"/>
        </w:rPr>
      </w:pPr>
      <w:r w:rsidRPr="00650B4A">
        <w:rPr>
          <w:b/>
          <w:bCs/>
          <w:color w:val="000000" w:themeColor="text1"/>
        </w:rPr>
        <w:t>RECEITA FEDERAL</w:t>
      </w:r>
      <w:r w:rsidRPr="00650B4A">
        <w:rPr>
          <w:color w:val="000000" w:themeColor="text1"/>
        </w:rPr>
        <w:t xml:space="preserve">. Demonstrativo de Gastos Tributários </w:t>
      </w:r>
      <w:r w:rsidR="000E1B64" w:rsidRPr="000E1B64">
        <w:rPr>
          <w:color w:val="000000" w:themeColor="text1"/>
        </w:rPr>
        <w:t>(2018‑2023)</w:t>
      </w:r>
      <w:r w:rsidRPr="00650B4A">
        <w:rPr>
          <w:color w:val="000000" w:themeColor="text1"/>
        </w:rPr>
        <w:t xml:space="preserve">. Brasília: Ministério da Fazenda, Secretaria Especial da Receita Federal do Brasil, </w:t>
      </w:r>
      <w:r w:rsidR="000126FE" w:rsidRPr="000E1B64">
        <w:rPr>
          <w:color w:val="000000" w:themeColor="text1"/>
        </w:rPr>
        <w:t>vários anos</w:t>
      </w:r>
      <w:r w:rsidRPr="00650B4A">
        <w:rPr>
          <w:color w:val="000000" w:themeColor="text1"/>
        </w:rPr>
        <w:t>.</w:t>
      </w:r>
    </w:p>
    <w:p w14:paraId="2B62B772" w14:textId="77777777" w:rsidR="00650B4A" w:rsidRPr="00650B4A" w:rsidRDefault="00650B4A" w:rsidP="00650B4A">
      <w:pPr>
        <w:rPr>
          <w:color w:val="000000" w:themeColor="text1"/>
        </w:rPr>
      </w:pPr>
    </w:p>
    <w:p w14:paraId="052451FB" w14:textId="77777777" w:rsidR="00650B4A" w:rsidRPr="00650B4A" w:rsidRDefault="00650B4A" w:rsidP="00650B4A">
      <w:pPr>
        <w:rPr>
          <w:color w:val="000000" w:themeColor="text1"/>
        </w:rPr>
      </w:pPr>
      <w:r w:rsidRPr="00650B4A">
        <w:rPr>
          <w:b/>
          <w:bCs/>
          <w:color w:val="000000" w:themeColor="text1"/>
        </w:rPr>
        <w:t>TCU – TRIBUNAL DE CONTAS DA UNIÃO</w:t>
      </w:r>
      <w:r w:rsidRPr="00650B4A">
        <w:rPr>
          <w:color w:val="000000" w:themeColor="text1"/>
        </w:rPr>
        <w:t>. Relatório de Fiscalização: Avaliação de políticas de incentivos na Zona Franca de Manaus. Brasília: TCU, 2022.</w:t>
      </w:r>
    </w:p>
    <w:p w14:paraId="5D69BB2F" w14:textId="77777777" w:rsidR="00650B4A" w:rsidRPr="00650B4A" w:rsidRDefault="00650B4A" w:rsidP="00650B4A">
      <w:pPr>
        <w:rPr>
          <w:color w:val="000000" w:themeColor="text1"/>
        </w:rPr>
      </w:pPr>
    </w:p>
    <w:p w14:paraId="35C93516" w14:textId="3C3EF256" w:rsidR="00650B4A" w:rsidRPr="00FB4461" w:rsidRDefault="00650B4A" w:rsidP="00650B4A">
      <w:pPr>
        <w:rPr>
          <w:color w:val="000000" w:themeColor="text1"/>
          <w:lang w:val="en-US"/>
        </w:rPr>
      </w:pPr>
      <w:r w:rsidRPr="00650B4A">
        <w:rPr>
          <w:b/>
          <w:bCs/>
          <w:color w:val="000000" w:themeColor="text1"/>
        </w:rPr>
        <w:t>BRASIL. Ministério do Trabalho e Emprego</w:t>
      </w:r>
      <w:r w:rsidRPr="00650B4A">
        <w:rPr>
          <w:color w:val="000000" w:themeColor="text1"/>
        </w:rPr>
        <w:t xml:space="preserve">. Relação Anual de Informações Sociais – RAIS: microdados 2018‑2023. </w:t>
      </w:r>
      <w:r w:rsidRPr="00650B4A">
        <w:rPr>
          <w:color w:val="000000" w:themeColor="text1"/>
          <w:lang w:val="en-US"/>
        </w:rPr>
        <w:t>Brasília, 2024. Base de dados.</w:t>
      </w:r>
    </w:p>
    <w:p w14:paraId="5155DFD5" w14:textId="77777777" w:rsidR="00EE20AB" w:rsidRPr="00FB4461" w:rsidRDefault="00EE20AB" w:rsidP="00EE20AB">
      <w:pPr>
        <w:rPr>
          <w:color w:val="000000" w:themeColor="text1"/>
          <w:lang w:val="en-US"/>
        </w:rPr>
      </w:pPr>
    </w:p>
    <w:p w14:paraId="2D19C218" w14:textId="1D518D03" w:rsidR="00AB44A1" w:rsidRPr="00AB44A1" w:rsidRDefault="00AB44A1" w:rsidP="00AB44A1">
      <w:pPr>
        <w:rPr>
          <w:color w:val="000000" w:themeColor="text1"/>
          <w:lang w:val="en-US"/>
        </w:rPr>
      </w:pPr>
      <w:r w:rsidRPr="00AB44A1">
        <w:rPr>
          <w:color w:val="000000" w:themeColor="text1"/>
          <w:lang w:val="en-US"/>
        </w:rPr>
        <w:t xml:space="preserve">ARTHUR, D.; VASSILVITSKII, S. k-means++: The Advantages of Careful Seeding. In: </w:t>
      </w:r>
      <w:r w:rsidRPr="00AB44A1">
        <w:rPr>
          <w:b/>
          <w:bCs/>
          <w:color w:val="000000" w:themeColor="text1"/>
          <w:lang w:val="en-US"/>
        </w:rPr>
        <w:t>SODA 2007</w:t>
      </w:r>
      <w:r w:rsidRPr="00AB44A1">
        <w:rPr>
          <w:color w:val="000000" w:themeColor="text1"/>
          <w:lang w:val="en-US"/>
        </w:rPr>
        <w:t xml:space="preserve"> – Proceedings of the Eighteenth Annual ACM-SIAM Symposium on Discrete Algorithms. Philadelphia: SIAM, 2007. p. 1027-1035.</w:t>
      </w:r>
    </w:p>
    <w:p w14:paraId="21B4F4EF" w14:textId="77777777" w:rsidR="00755A8A" w:rsidRDefault="00755A8A" w:rsidP="00AB44A1">
      <w:pPr>
        <w:rPr>
          <w:color w:val="000000" w:themeColor="text1"/>
          <w:lang w:val="en-US"/>
        </w:rPr>
      </w:pPr>
    </w:p>
    <w:p w14:paraId="5037D27B" w14:textId="6DC7B699" w:rsidR="00AB44A1" w:rsidRDefault="00AB44A1" w:rsidP="00AB44A1">
      <w:pPr>
        <w:rPr>
          <w:color w:val="000000" w:themeColor="text1"/>
          <w:lang w:val="en-US"/>
        </w:rPr>
      </w:pPr>
      <w:r w:rsidRPr="00AB44A1">
        <w:rPr>
          <w:color w:val="000000" w:themeColor="text1"/>
          <w:lang w:val="en-US"/>
        </w:rPr>
        <w:t xml:space="preserve">ROUSSEEUW, P. J. Silhouettes: </w:t>
      </w:r>
      <w:proofErr w:type="gramStart"/>
      <w:r w:rsidRPr="00AB44A1">
        <w:rPr>
          <w:color w:val="000000" w:themeColor="text1"/>
          <w:lang w:val="en-US"/>
        </w:rPr>
        <w:t>a graphical</w:t>
      </w:r>
      <w:proofErr w:type="gramEnd"/>
      <w:r w:rsidRPr="00AB44A1">
        <w:rPr>
          <w:color w:val="000000" w:themeColor="text1"/>
          <w:lang w:val="en-US"/>
        </w:rPr>
        <w:t xml:space="preserve"> aid to the interpretation and validation of cluster analysis. </w:t>
      </w:r>
      <w:r w:rsidRPr="00AB44A1">
        <w:rPr>
          <w:b/>
          <w:bCs/>
          <w:color w:val="000000" w:themeColor="text1"/>
          <w:lang w:val="en-US"/>
        </w:rPr>
        <w:t>Journal of Computational and Applied Mathematics</w:t>
      </w:r>
      <w:r w:rsidRPr="00AB44A1">
        <w:rPr>
          <w:color w:val="000000" w:themeColor="text1"/>
          <w:lang w:val="en-US"/>
        </w:rPr>
        <w:t>, v. 20, p. 53-65, 1987.</w:t>
      </w:r>
    </w:p>
    <w:p w14:paraId="7E9E0545" w14:textId="77777777" w:rsidR="00AB44A1" w:rsidRPr="00AB44A1" w:rsidRDefault="00AB44A1" w:rsidP="00AB44A1">
      <w:pPr>
        <w:rPr>
          <w:color w:val="000000" w:themeColor="text1"/>
          <w:lang w:val="en-US"/>
        </w:rPr>
      </w:pPr>
    </w:p>
    <w:p w14:paraId="0892A8A1" w14:textId="5A3ECE14" w:rsidR="00AB44A1" w:rsidRDefault="00AB44A1" w:rsidP="00AB44A1">
      <w:pPr>
        <w:rPr>
          <w:color w:val="000000" w:themeColor="text1"/>
          <w:lang w:val="en-US"/>
        </w:rPr>
      </w:pPr>
      <w:r w:rsidRPr="00AB44A1">
        <w:rPr>
          <w:color w:val="000000" w:themeColor="text1"/>
          <w:lang w:val="en-US"/>
        </w:rPr>
        <w:t xml:space="preserve">TIBSHIRANI, R.; WALTHER, G.; HASTIE, T. Estimating the number of clusters in a data set via the gap statistic. </w:t>
      </w:r>
      <w:r w:rsidRPr="00AB44A1">
        <w:rPr>
          <w:b/>
          <w:bCs/>
          <w:color w:val="000000" w:themeColor="text1"/>
          <w:lang w:val="en-US"/>
        </w:rPr>
        <w:t>Journal of the Royal Statistical Society: Series B</w:t>
      </w:r>
      <w:r w:rsidRPr="00AB44A1">
        <w:rPr>
          <w:color w:val="000000" w:themeColor="text1"/>
          <w:lang w:val="en-US"/>
        </w:rPr>
        <w:t>, v. 63, n. 2, p. 411-423, 2001</w:t>
      </w:r>
      <w:r>
        <w:rPr>
          <w:color w:val="000000" w:themeColor="text1"/>
          <w:lang w:val="en-US"/>
        </w:rPr>
        <w:t>.</w:t>
      </w:r>
    </w:p>
    <w:p w14:paraId="367E44FD" w14:textId="77777777" w:rsidR="00AB44A1" w:rsidRPr="00AB44A1" w:rsidRDefault="00AB44A1" w:rsidP="00AB44A1">
      <w:pPr>
        <w:rPr>
          <w:color w:val="000000" w:themeColor="text1"/>
          <w:lang w:val="en-US"/>
        </w:rPr>
      </w:pPr>
    </w:p>
    <w:p w14:paraId="7D5BEA32" w14:textId="14DDB057" w:rsidR="00AB44A1" w:rsidRDefault="00AB44A1" w:rsidP="00AB44A1">
      <w:pPr>
        <w:rPr>
          <w:color w:val="000000" w:themeColor="text1"/>
          <w:lang w:val="en-US"/>
        </w:rPr>
      </w:pPr>
      <w:r w:rsidRPr="00AB44A1">
        <w:rPr>
          <w:color w:val="000000" w:themeColor="text1"/>
          <w:lang w:val="en-US"/>
        </w:rPr>
        <w:t xml:space="preserve">MILLIGAN, G. W.; COOPER, M. C. An examination of procedures for determining the number of clusters in a data set. </w:t>
      </w:r>
      <w:r w:rsidRPr="00AB44A1">
        <w:rPr>
          <w:b/>
          <w:bCs/>
          <w:color w:val="000000" w:themeColor="text1"/>
          <w:lang w:val="en-US"/>
        </w:rPr>
        <w:t>Psychometrika</w:t>
      </w:r>
      <w:r w:rsidRPr="00AB44A1">
        <w:rPr>
          <w:color w:val="000000" w:themeColor="text1"/>
          <w:lang w:val="en-US"/>
        </w:rPr>
        <w:t>, v. 50, n. 2, p. 159-179, 1985.</w:t>
      </w:r>
    </w:p>
    <w:p w14:paraId="42797735" w14:textId="77777777" w:rsidR="00AB44A1" w:rsidRPr="00AB44A1" w:rsidRDefault="00AB44A1" w:rsidP="00AB44A1">
      <w:pPr>
        <w:rPr>
          <w:color w:val="000000" w:themeColor="text1"/>
          <w:lang w:val="en-US"/>
        </w:rPr>
      </w:pPr>
    </w:p>
    <w:p w14:paraId="4A348BD5" w14:textId="2E9B609D" w:rsidR="00AB44A1" w:rsidRDefault="00AB44A1" w:rsidP="00AB44A1">
      <w:pPr>
        <w:rPr>
          <w:color w:val="000000" w:themeColor="text1"/>
          <w:lang w:val="en-US"/>
        </w:rPr>
      </w:pPr>
      <w:r w:rsidRPr="00AB44A1">
        <w:rPr>
          <w:color w:val="000000" w:themeColor="text1"/>
          <w:lang w:val="en-US"/>
        </w:rPr>
        <w:t xml:space="preserve">HUANG, Z. Extensions to the k-means algorithm for clustering large data sets with categorical values. </w:t>
      </w:r>
      <w:r w:rsidRPr="00AB44A1">
        <w:rPr>
          <w:b/>
          <w:bCs/>
          <w:color w:val="000000" w:themeColor="text1"/>
          <w:lang w:val="en-US"/>
        </w:rPr>
        <w:t>Data Mining and Knowledge Discovery</w:t>
      </w:r>
      <w:r w:rsidRPr="00AB44A1">
        <w:rPr>
          <w:color w:val="000000" w:themeColor="text1"/>
          <w:lang w:val="en-US"/>
        </w:rPr>
        <w:t>, v. 2, n. 3, p. 283-304, 1998.</w:t>
      </w:r>
    </w:p>
    <w:p w14:paraId="2EC2FAD9" w14:textId="77777777" w:rsidR="00AB44A1" w:rsidRPr="00AB44A1" w:rsidRDefault="00AB44A1" w:rsidP="00AB44A1">
      <w:pPr>
        <w:rPr>
          <w:color w:val="000000" w:themeColor="text1"/>
          <w:lang w:val="en-US"/>
        </w:rPr>
      </w:pPr>
    </w:p>
    <w:p w14:paraId="5A3A66EE" w14:textId="30ED6CCC" w:rsidR="00855E13" w:rsidRDefault="00AB44A1" w:rsidP="00AB44A1">
      <w:pPr>
        <w:rPr>
          <w:color w:val="000000" w:themeColor="text1"/>
          <w:lang w:val="en-US"/>
        </w:rPr>
      </w:pPr>
      <w:r w:rsidRPr="00AB44A1">
        <w:rPr>
          <w:color w:val="000000" w:themeColor="text1"/>
          <w:lang w:val="en-US"/>
        </w:rPr>
        <w:t xml:space="preserve">KAUFMAN, L.; ROUSSEEUW, P. J. </w:t>
      </w:r>
      <w:r w:rsidRPr="00AB44A1">
        <w:rPr>
          <w:b/>
          <w:bCs/>
          <w:color w:val="000000" w:themeColor="text1"/>
          <w:lang w:val="en-US"/>
        </w:rPr>
        <w:t>Finding Groups in Data: An Introduction to Cluster Analysis.</w:t>
      </w:r>
      <w:r w:rsidRPr="00AB44A1">
        <w:rPr>
          <w:color w:val="000000" w:themeColor="text1"/>
          <w:lang w:val="en-US"/>
        </w:rPr>
        <w:t xml:space="preserve"> New York: Wiley, 1990.</w:t>
      </w:r>
    </w:p>
    <w:p w14:paraId="66692637" w14:textId="77777777" w:rsidR="00AB44A1" w:rsidRPr="00AB44A1" w:rsidRDefault="00AB44A1" w:rsidP="00AB44A1">
      <w:pPr>
        <w:rPr>
          <w:color w:val="000000" w:themeColor="text1"/>
          <w:lang w:val="en-US"/>
        </w:rPr>
      </w:pPr>
    </w:p>
    <w:p w14:paraId="790741FF" w14:textId="0B927BEE" w:rsidR="00AB44A1" w:rsidRDefault="00AB44A1" w:rsidP="00AB44A1">
      <w:pPr>
        <w:rPr>
          <w:color w:val="000000" w:themeColor="text1"/>
          <w:lang w:val="en-US"/>
        </w:rPr>
      </w:pPr>
      <w:r w:rsidRPr="00AB44A1">
        <w:rPr>
          <w:color w:val="000000" w:themeColor="text1"/>
          <w:lang w:val="en-US"/>
        </w:rPr>
        <w:t xml:space="preserve">KETCHEN, D. J.; SHOOK, C. L. The application of cluster analysis in strategic management research: </w:t>
      </w:r>
      <w:proofErr w:type="gramStart"/>
      <w:r w:rsidRPr="00AB44A1">
        <w:rPr>
          <w:color w:val="000000" w:themeColor="text1"/>
          <w:lang w:val="en-US"/>
        </w:rPr>
        <w:t>an analysis</w:t>
      </w:r>
      <w:proofErr w:type="gramEnd"/>
      <w:r w:rsidRPr="00AB44A1">
        <w:rPr>
          <w:color w:val="000000" w:themeColor="text1"/>
          <w:lang w:val="en-US"/>
        </w:rPr>
        <w:t xml:space="preserve"> and critique. </w:t>
      </w:r>
      <w:r w:rsidRPr="00AB44A1">
        <w:rPr>
          <w:b/>
          <w:bCs/>
          <w:color w:val="000000" w:themeColor="text1"/>
          <w:lang w:val="en-US"/>
        </w:rPr>
        <w:t>Strategic Management Journal</w:t>
      </w:r>
      <w:r w:rsidRPr="00AB44A1">
        <w:rPr>
          <w:color w:val="000000" w:themeColor="text1"/>
          <w:lang w:val="en-US"/>
        </w:rPr>
        <w:t>, v. 17, n. 6, p. 441-458, 1996.</w:t>
      </w:r>
    </w:p>
    <w:p w14:paraId="2B28506D" w14:textId="77777777" w:rsidR="00C449C9" w:rsidRPr="00AB44A1" w:rsidRDefault="00C449C9" w:rsidP="00AB44A1">
      <w:pPr>
        <w:rPr>
          <w:color w:val="000000" w:themeColor="text1"/>
          <w:lang w:val="en-US"/>
        </w:rPr>
      </w:pPr>
    </w:p>
    <w:p w14:paraId="3B7CC90F" w14:textId="29138B6F" w:rsidR="00AB44A1" w:rsidRDefault="00AB44A1" w:rsidP="00AB44A1">
      <w:pPr>
        <w:rPr>
          <w:color w:val="000000" w:themeColor="text1"/>
          <w:lang w:val="en-US"/>
        </w:rPr>
      </w:pPr>
      <w:r w:rsidRPr="00AB44A1">
        <w:rPr>
          <w:color w:val="000000" w:themeColor="text1"/>
          <w:lang w:val="en-US"/>
        </w:rPr>
        <w:t xml:space="preserve">FARRELL, M. J. </w:t>
      </w:r>
      <w:proofErr w:type="gramStart"/>
      <w:r w:rsidRPr="00AB44A1">
        <w:rPr>
          <w:color w:val="000000" w:themeColor="text1"/>
          <w:lang w:val="en-US"/>
        </w:rPr>
        <w:t>The measurement</w:t>
      </w:r>
      <w:proofErr w:type="gramEnd"/>
      <w:r w:rsidRPr="00AB44A1">
        <w:rPr>
          <w:color w:val="000000" w:themeColor="text1"/>
          <w:lang w:val="en-US"/>
        </w:rPr>
        <w:t xml:space="preserve"> of productive efficiency. </w:t>
      </w:r>
      <w:r w:rsidRPr="00AB44A1">
        <w:rPr>
          <w:b/>
          <w:bCs/>
          <w:color w:val="000000" w:themeColor="text1"/>
          <w:lang w:val="en-US"/>
        </w:rPr>
        <w:t>Journal of the Royal Statistical Society: Series A</w:t>
      </w:r>
      <w:r w:rsidRPr="00AB44A1">
        <w:rPr>
          <w:color w:val="000000" w:themeColor="text1"/>
          <w:lang w:val="en-US"/>
        </w:rPr>
        <w:t>, v. 120, n. 3, p. 253-290, 1957.</w:t>
      </w:r>
    </w:p>
    <w:p w14:paraId="78F61FC7" w14:textId="77777777" w:rsidR="00AB44A1" w:rsidRPr="00AB44A1" w:rsidRDefault="00AB44A1" w:rsidP="00AB44A1">
      <w:pPr>
        <w:rPr>
          <w:color w:val="000000" w:themeColor="text1"/>
          <w:lang w:val="en-US"/>
        </w:rPr>
      </w:pPr>
    </w:p>
    <w:p w14:paraId="3D3A105A" w14:textId="5A9C42B8" w:rsidR="00AB44A1" w:rsidRPr="00E72418" w:rsidRDefault="00AB44A1" w:rsidP="00AB44A1">
      <w:pPr>
        <w:rPr>
          <w:color w:val="000000" w:themeColor="text1"/>
          <w:lang w:val="en-US"/>
        </w:rPr>
      </w:pPr>
      <w:r w:rsidRPr="00AB44A1">
        <w:rPr>
          <w:color w:val="000000" w:themeColor="text1"/>
          <w:lang w:val="en-US"/>
        </w:rPr>
        <w:t xml:space="preserve">BANKER, R. D.; CHARNES, A.; COOPER, W. W. Some models for estimating technical and scale inefficiencies in data envelopment analysis. </w:t>
      </w:r>
      <w:r w:rsidRPr="00E72418">
        <w:rPr>
          <w:b/>
          <w:bCs/>
          <w:color w:val="000000" w:themeColor="text1"/>
          <w:lang w:val="en-US"/>
        </w:rPr>
        <w:t>Management Science</w:t>
      </w:r>
      <w:r w:rsidRPr="00E72418">
        <w:rPr>
          <w:color w:val="000000" w:themeColor="text1"/>
          <w:lang w:val="en-US"/>
        </w:rPr>
        <w:t>, v. 30, n. 9, p. 1078-1092, 1984.</w:t>
      </w:r>
    </w:p>
    <w:p w14:paraId="23ED1B9B" w14:textId="77777777" w:rsidR="00AB44A1" w:rsidRPr="00E72418" w:rsidRDefault="00AB44A1" w:rsidP="00AB44A1">
      <w:pPr>
        <w:rPr>
          <w:color w:val="000000" w:themeColor="text1"/>
          <w:lang w:val="en-US"/>
        </w:rPr>
      </w:pPr>
    </w:p>
    <w:p w14:paraId="619AA69A" w14:textId="1CC1E911" w:rsidR="00AB44A1" w:rsidRPr="00AB44A1" w:rsidRDefault="00AB44A1" w:rsidP="00AB44A1">
      <w:pPr>
        <w:rPr>
          <w:color w:val="000000" w:themeColor="text1"/>
          <w:lang w:val="en-US"/>
        </w:rPr>
      </w:pPr>
      <w:r w:rsidRPr="00AB44A1">
        <w:rPr>
          <w:color w:val="000000" w:themeColor="text1"/>
          <w:lang w:val="en-US"/>
        </w:rPr>
        <w:t xml:space="preserve">BATTESE, G. E.; RAO, D. S. P.; O’DONNELL, C. J. A </w:t>
      </w:r>
      <w:proofErr w:type="spellStart"/>
      <w:r w:rsidRPr="00AB44A1">
        <w:rPr>
          <w:color w:val="000000" w:themeColor="text1"/>
          <w:lang w:val="en-US"/>
        </w:rPr>
        <w:t>metafrontier</w:t>
      </w:r>
      <w:proofErr w:type="spellEnd"/>
      <w:r w:rsidRPr="00AB44A1">
        <w:rPr>
          <w:color w:val="000000" w:themeColor="text1"/>
          <w:lang w:val="en-US"/>
        </w:rPr>
        <w:t xml:space="preserve"> production function for estimation of technical efficiencies and technology gaps for firms operating under different technologies. </w:t>
      </w:r>
      <w:r w:rsidRPr="00AB44A1">
        <w:rPr>
          <w:b/>
          <w:bCs/>
          <w:color w:val="000000" w:themeColor="text1"/>
          <w:lang w:val="en-US"/>
        </w:rPr>
        <w:t>Journal of Productivity Analysis</w:t>
      </w:r>
      <w:r w:rsidRPr="00AB44A1">
        <w:rPr>
          <w:color w:val="000000" w:themeColor="text1"/>
          <w:lang w:val="en-US"/>
        </w:rPr>
        <w:t xml:space="preserve">, v. 21, n. 1, p. 91-103, 2004. </w:t>
      </w:r>
    </w:p>
    <w:p w14:paraId="04F64382" w14:textId="77777777" w:rsidR="00AB44A1" w:rsidRPr="00AB44A1" w:rsidRDefault="00AB44A1" w:rsidP="00AB44A1">
      <w:pPr>
        <w:rPr>
          <w:color w:val="000000" w:themeColor="text1"/>
          <w:lang w:val="en-US"/>
        </w:rPr>
      </w:pPr>
    </w:p>
    <w:p w14:paraId="6B987D6D" w14:textId="6A0BC9DF" w:rsidR="00AB44A1" w:rsidRPr="00AB44A1" w:rsidRDefault="00AB44A1" w:rsidP="00AB44A1">
      <w:pPr>
        <w:rPr>
          <w:color w:val="000000" w:themeColor="text1"/>
          <w:lang w:val="en-US"/>
        </w:rPr>
      </w:pPr>
      <w:r w:rsidRPr="00AB44A1">
        <w:rPr>
          <w:color w:val="000000" w:themeColor="text1"/>
          <w:lang w:val="en-US"/>
        </w:rPr>
        <w:t xml:space="preserve">KRUGMAN, P. </w:t>
      </w:r>
      <w:r w:rsidRPr="00AB44A1">
        <w:rPr>
          <w:b/>
          <w:bCs/>
          <w:color w:val="000000" w:themeColor="text1"/>
          <w:lang w:val="en-US"/>
        </w:rPr>
        <w:t>Geography and Trade.</w:t>
      </w:r>
      <w:r>
        <w:rPr>
          <w:color w:val="000000" w:themeColor="text1"/>
          <w:lang w:val="en-US"/>
        </w:rPr>
        <w:t xml:space="preserve"> </w:t>
      </w:r>
      <w:r w:rsidRPr="00AB44A1">
        <w:rPr>
          <w:color w:val="000000" w:themeColor="text1"/>
          <w:lang w:val="en-US"/>
        </w:rPr>
        <w:t>Cambridge, MA: MIT Press, 1991.</w:t>
      </w:r>
      <w:r>
        <w:rPr>
          <w:color w:val="000000" w:themeColor="text1"/>
          <w:lang w:val="en-US"/>
        </w:rPr>
        <w:br/>
      </w:r>
    </w:p>
    <w:p w14:paraId="5410B369" w14:textId="52AFDC1E" w:rsidR="00AB44A1" w:rsidRDefault="00AB44A1" w:rsidP="00AB44A1">
      <w:pPr>
        <w:rPr>
          <w:color w:val="000000" w:themeColor="text1"/>
          <w:lang w:val="en-US"/>
        </w:rPr>
      </w:pPr>
      <w:r w:rsidRPr="00AB44A1">
        <w:rPr>
          <w:color w:val="000000" w:themeColor="text1"/>
          <w:lang w:val="en-US"/>
        </w:rPr>
        <w:t xml:space="preserve">HIRSCHMAN, A. O. </w:t>
      </w:r>
      <w:r w:rsidRPr="00AB44A1">
        <w:rPr>
          <w:b/>
          <w:bCs/>
          <w:color w:val="000000" w:themeColor="text1"/>
          <w:lang w:val="en-US"/>
        </w:rPr>
        <w:t>The Strategy of Economic Developmen</w:t>
      </w:r>
      <w:r>
        <w:rPr>
          <w:b/>
          <w:bCs/>
          <w:color w:val="000000" w:themeColor="text1"/>
          <w:lang w:val="en-US"/>
        </w:rPr>
        <w:t>t.</w:t>
      </w:r>
      <w:r w:rsidRPr="00AB44A1">
        <w:rPr>
          <w:color w:val="000000" w:themeColor="text1"/>
          <w:lang w:val="en-US"/>
        </w:rPr>
        <w:t xml:space="preserve"> New Haven: Yale University Press, 1958.</w:t>
      </w:r>
    </w:p>
    <w:p w14:paraId="2A4D077E" w14:textId="77777777" w:rsidR="00AB44A1" w:rsidRPr="00AB44A1" w:rsidRDefault="00AB44A1" w:rsidP="00AB44A1">
      <w:pPr>
        <w:rPr>
          <w:color w:val="000000" w:themeColor="text1"/>
          <w:lang w:val="en-US"/>
        </w:rPr>
      </w:pPr>
    </w:p>
    <w:p w14:paraId="1FBFA3E1" w14:textId="06E95126" w:rsidR="00AB44A1" w:rsidRDefault="00AB44A1" w:rsidP="00AB44A1">
      <w:pPr>
        <w:rPr>
          <w:color w:val="000000" w:themeColor="text1"/>
          <w:lang w:val="en-US"/>
        </w:rPr>
      </w:pPr>
      <w:r w:rsidRPr="00AB44A1">
        <w:rPr>
          <w:color w:val="000000" w:themeColor="text1"/>
          <w:lang w:val="en-US"/>
        </w:rPr>
        <w:lastRenderedPageBreak/>
        <w:t xml:space="preserve">GLAESER, E. L.; GOTTLIEB, J. D. The Economics of Place-Making Policies. </w:t>
      </w:r>
      <w:r w:rsidRPr="00AB44A1">
        <w:rPr>
          <w:b/>
          <w:bCs/>
          <w:color w:val="000000" w:themeColor="text1"/>
          <w:lang w:val="en-US"/>
        </w:rPr>
        <w:t>Brookings Papers on Economic Activity</w:t>
      </w:r>
      <w:r w:rsidRPr="00AB44A1">
        <w:rPr>
          <w:color w:val="000000" w:themeColor="text1"/>
          <w:lang w:val="en-US"/>
        </w:rPr>
        <w:t>, v. 2008, n. 1, p. 155-253, 2008.</w:t>
      </w:r>
    </w:p>
    <w:p w14:paraId="75EDEAEA" w14:textId="77777777" w:rsidR="00AB44A1" w:rsidRPr="00AB44A1" w:rsidRDefault="00AB44A1" w:rsidP="00AB44A1">
      <w:pPr>
        <w:rPr>
          <w:color w:val="000000" w:themeColor="text1"/>
          <w:lang w:val="en-US"/>
        </w:rPr>
      </w:pPr>
    </w:p>
    <w:p w14:paraId="15FEB553" w14:textId="033E538C" w:rsidR="00AB44A1" w:rsidRDefault="00AB44A1" w:rsidP="00AB44A1">
      <w:pPr>
        <w:rPr>
          <w:color w:val="000000" w:themeColor="text1"/>
          <w:lang w:val="en-US"/>
        </w:rPr>
      </w:pPr>
      <w:r w:rsidRPr="00AB44A1">
        <w:rPr>
          <w:color w:val="000000" w:themeColor="text1"/>
          <w:lang w:val="en-US"/>
        </w:rPr>
        <w:t xml:space="preserve">KLINE, P.; MORETTI, E. Local Economic Development, Agglomeration Economies, and the Big Push: 100 Years of Evidence from the Tennessee Valley Authority. </w:t>
      </w:r>
      <w:r w:rsidRPr="00AB44A1">
        <w:rPr>
          <w:b/>
          <w:bCs/>
          <w:color w:val="000000" w:themeColor="text1"/>
          <w:lang w:val="en-US"/>
        </w:rPr>
        <w:t>Quarterly Journal of Economics</w:t>
      </w:r>
      <w:r w:rsidRPr="00AB44A1">
        <w:rPr>
          <w:color w:val="000000" w:themeColor="text1"/>
          <w:lang w:val="en-US"/>
        </w:rPr>
        <w:t>, v. 129, n. 1, p. 275-331, 2014.</w:t>
      </w:r>
    </w:p>
    <w:p w14:paraId="72018BF7" w14:textId="77777777" w:rsidR="00AB44A1" w:rsidRPr="00AB44A1" w:rsidRDefault="00AB44A1" w:rsidP="00AB44A1">
      <w:pPr>
        <w:rPr>
          <w:color w:val="000000" w:themeColor="text1"/>
          <w:lang w:val="en-US"/>
        </w:rPr>
      </w:pPr>
    </w:p>
    <w:p w14:paraId="677EE8AC" w14:textId="5F7E9D72" w:rsidR="00AB44A1" w:rsidRDefault="00AB44A1" w:rsidP="00AB44A1">
      <w:pPr>
        <w:rPr>
          <w:color w:val="000000" w:themeColor="text1"/>
          <w:lang w:val="en-US"/>
        </w:rPr>
      </w:pPr>
      <w:r w:rsidRPr="00AB44A1">
        <w:rPr>
          <w:color w:val="000000" w:themeColor="text1"/>
          <w:lang w:val="en-US"/>
        </w:rPr>
        <w:t xml:space="preserve">NEUMARK, D.; SIMPSON, H. Place-Based Policies. In: DURANTON, G.; HENDERSON, V.; STRANGE, W. (org.). </w:t>
      </w:r>
      <w:r w:rsidRPr="00AB44A1">
        <w:rPr>
          <w:b/>
          <w:bCs/>
          <w:color w:val="000000" w:themeColor="text1"/>
          <w:lang w:val="en-US"/>
        </w:rPr>
        <w:t>Handbook of Regional and Urban Economics</w:t>
      </w:r>
      <w:r w:rsidRPr="00AB44A1">
        <w:rPr>
          <w:color w:val="000000" w:themeColor="text1"/>
          <w:lang w:val="en-US"/>
        </w:rPr>
        <w:t>, v. 5A. Amsterdam: Elsevier, 2015. p. 1197-1287.</w:t>
      </w:r>
    </w:p>
    <w:p w14:paraId="41DCDC71" w14:textId="77777777" w:rsidR="00AB44A1" w:rsidRPr="00AB44A1" w:rsidRDefault="00AB44A1" w:rsidP="00AB44A1">
      <w:pPr>
        <w:rPr>
          <w:color w:val="000000" w:themeColor="text1"/>
          <w:lang w:val="en-US"/>
        </w:rPr>
      </w:pPr>
    </w:p>
    <w:p w14:paraId="0AB0FF2E" w14:textId="51B026A7" w:rsidR="00AB44A1" w:rsidRPr="00AB44A1" w:rsidRDefault="00755A8A" w:rsidP="00AB44A1">
      <w:pPr>
        <w:rPr>
          <w:color w:val="000000" w:themeColor="text1"/>
          <w:lang w:val="en-US"/>
        </w:rPr>
      </w:pPr>
      <w:r w:rsidRPr="00D91AD3">
        <w:rPr>
          <w:b/>
          <w:bCs/>
          <w:color w:val="000000" w:themeColor="text1"/>
          <w:lang w:val="en-US"/>
        </w:rPr>
        <w:t>BARTIK, T. J.</w:t>
      </w:r>
      <w:r w:rsidRPr="00D91AD3">
        <w:rPr>
          <w:color w:val="000000" w:themeColor="text1"/>
          <w:lang w:val="en-US"/>
        </w:rPr>
        <w:t xml:space="preserve"> </w:t>
      </w:r>
      <w:r w:rsidRPr="00D91AD3">
        <w:rPr>
          <w:i/>
          <w:iCs/>
          <w:color w:val="000000" w:themeColor="text1"/>
          <w:lang w:val="en-US"/>
        </w:rPr>
        <w:t>Who Benefits from State and Local Economic Development Policies?</w:t>
      </w:r>
      <w:r w:rsidRPr="00D91AD3">
        <w:rPr>
          <w:color w:val="000000" w:themeColor="text1"/>
          <w:lang w:val="en-US"/>
        </w:rPr>
        <w:t xml:space="preserve"> </w:t>
      </w:r>
      <w:r w:rsidRPr="00755A8A">
        <w:rPr>
          <w:color w:val="000000" w:themeColor="text1"/>
          <w:lang w:val="en-US"/>
        </w:rPr>
        <w:t>Kalamazoo, MI: W. E. Upjohn Institute for Employment Research, 1991</w:t>
      </w:r>
      <w:r w:rsidR="00AB44A1" w:rsidRPr="00AB44A1">
        <w:rPr>
          <w:color w:val="000000" w:themeColor="text1"/>
          <w:lang w:val="en-US"/>
        </w:rPr>
        <w:t>.</w:t>
      </w:r>
    </w:p>
    <w:p w14:paraId="433A4261" w14:textId="77777777" w:rsidR="00AB44A1" w:rsidRPr="00AB44A1" w:rsidRDefault="00AB44A1" w:rsidP="00AB44A1">
      <w:pPr>
        <w:rPr>
          <w:color w:val="000000" w:themeColor="text1"/>
          <w:lang w:val="en-US"/>
        </w:rPr>
      </w:pPr>
    </w:p>
    <w:p w14:paraId="0F772B11" w14:textId="7F19FB58" w:rsidR="00AB44A1" w:rsidRPr="00AB44A1" w:rsidRDefault="00AB44A1" w:rsidP="00AB44A1">
      <w:pPr>
        <w:rPr>
          <w:color w:val="000000" w:themeColor="text1"/>
        </w:rPr>
      </w:pPr>
      <w:r w:rsidRPr="00AB44A1">
        <w:rPr>
          <w:color w:val="000000" w:themeColor="text1"/>
          <w:lang w:val="en-US"/>
        </w:rPr>
        <w:t xml:space="preserve">HAIR Jr., J. F.; BLACK, W. C.; BABIN, B. J.; ANDERSON, R. E. </w:t>
      </w:r>
      <w:r w:rsidRPr="00AB44A1">
        <w:rPr>
          <w:b/>
          <w:bCs/>
          <w:color w:val="000000" w:themeColor="text1"/>
          <w:lang w:val="en-US"/>
        </w:rPr>
        <w:t>Multivariate Data Analysis.</w:t>
      </w:r>
      <w:r w:rsidRPr="00AB44A1">
        <w:rPr>
          <w:color w:val="000000" w:themeColor="text1"/>
          <w:lang w:val="en-US"/>
        </w:rPr>
        <w:t xml:space="preserve"> </w:t>
      </w:r>
      <w:r w:rsidRPr="00AB44A1">
        <w:rPr>
          <w:color w:val="000000" w:themeColor="text1"/>
        </w:rPr>
        <w:t xml:space="preserve">8. ed. </w:t>
      </w:r>
      <w:proofErr w:type="spellStart"/>
      <w:r w:rsidRPr="00AB44A1">
        <w:rPr>
          <w:color w:val="000000" w:themeColor="text1"/>
        </w:rPr>
        <w:t>Andover</w:t>
      </w:r>
      <w:proofErr w:type="spellEnd"/>
      <w:r w:rsidRPr="00AB44A1">
        <w:rPr>
          <w:color w:val="000000" w:themeColor="text1"/>
        </w:rPr>
        <w:t xml:space="preserve">: </w:t>
      </w:r>
      <w:proofErr w:type="spellStart"/>
      <w:r w:rsidRPr="00AB44A1">
        <w:rPr>
          <w:color w:val="000000" w:themeColor="text1"/>
        </w:rPr>
        <w:t>Cengage</w:t>
      </w:r>
      <w:proofErr w:type="spellEnd"/>
      <w:r w:rsidRPr="00AB44A1">
        <w:rPr>
          <w:color w:val="000000" w:themeColor="text1"/>
        </w:rPr>
        <w:t>, 2019.</w:t>
      </w:r>
    </w:p>
    <w:p w14:paraId="69BBF700" w14:textId="77777777" w:rsidR="00AB44A1" w:rsidRPr="00AB44A1" w:rsidRDefault="00AB44A1" w:rsidP="00AB44A1">
      <w:pPr>
        <w:rPr>
          <w:color w:val="000000" w:themeColor="text1"/>
        </w:rPr>
      </w:pPr>
    </w:p>
    <w:p w14:paraId="5A0CB46F" w14:textId="09129B70" w:rsidR="00EE20AB" w:rsidRDefault="00AB44A1" w:rsidP="00AB44A1">
      <w:pPr>
        <w:rPr>
          <w:color w:val="000000" w:themeColor="text1"/>
        </w:rPr>
      </w:pPr>
      <w:r w:rsidRPr="00AB44A1">
        <w:rPr>
          <w:color w:val="000000" w:themeColor="text1"/>
        </w:rPr>
        <w:t xml:space="preserve">FERNANDES, A. F.; MINORI, A.; MORAIS, R. N. S. Análise Envoltória de Dados: uma aplicação no Polo Industrial de Manaus (PIM). In: </w:t>
      </w:r>
      <w:r w:rsidRPr="00AB44A1">
        <w:rPr>
          <w:b/>
          <w:bCs/>
          <w:color w:val="000000" w:themeColor="text1"/>
        </w:rPr>
        <w:t>Administração, Empreendedorismo e Inovação 6</w:t>
      </w:r>
      <w:r w:rsidRPr="00AB44A1">
        <w:rPr>
          <w:color w:val="000000" w:themeColor="text1"/>
        </w:rPr>
        <w:t>. 2019. p. 166-178.</w:t>
      </w:r>
    </w:p>
    <w:p w14:paraId="4CC6C9C7" w14:textId="77777777" w:rsidR="00755A8A" w:rsidRDefault="00755A8A" w:rsidP="00AB44A1">
      <w:pPr>
        <w:rPr>
          <w:color w:val="000000" w:themeColor="text1"/>
        </w:rPr>
      </w:pPr>
    </w:p>
    <w:p w14:paraId="5378D5A8" w14:textId="3DB53DFB" w:rsidR="00755A8A" w:rsidRDefault="00755A8A" w:rsidP="00AB44A1">
      <w:pPr>
        <w:rPr>
          <w:color w:val="000000" w:themeColor="text1"/>
        </w:rPr>
      </w:pPr>
      <w:r w:rsidRPr="00755A8A">
        <w:rPr>
          <w:b/>
          <w:bCs/>
          <w:color w:val="000000" w:themeColor="text1"/>
        </w:rPr>
        <w:t>CAVALCANTE, M. C. V.</w:t>
      </w:r>
      <w:r w:rsidRPr="00755A8A">
        <w:rPr>
          <w:color w:val="000000" w:themeColor="text1"/>
        </w:rPr>
        <w:t xml:space="preserve"> </w:t>
      </w:r>
      <w:r w:rsidRPr="00755A8A">
        <w:rPr>
          <w:i/>
          <w:iCs/>
          <w:color w:val="000000" w:themeColor="text1"/>
        </w:rPr>
        <w:t>Pesquisa e desenvolvimento como ferramenta das políticas públicas na ZFM: um estudo de eficiência da Lei de Informática por DEA</w:t>
      </w:r>
      <w:r w:rsidRPr="00755A8A">
        <w:rPr>
          <w:color w:val="000000" w:themeColor="text1"/>
        </w:rPr>
        <w:t>. Dissertação (Mestrado em Engenharia de Produção) — Universidade Federal do Amazonas, Manaus, 2017.</w:t>
      </w:r>
    </w:p>
    <w:p w14:paraId="66EE6FA3" w14:textId="77777777" w:rsidR="00755A8A" w:rsidRDefault="00755A8A" w:rsidP="00AB44A1">
      <w:pPr>
        <w:rPr>
          <w:color w:val="000000" w:themeColor="text1"/>
        </w:rPr>
      </w:pPr>
    </w:p>
    <w:p w14:paraId="2D14BCB0" w14:textId="03E3A68C" w:rsidR="00755A8A" w:rsidRDefault="00755A8A" w:rsidP="00AB44A1">
      <w:pPr>
        <w:rPr>
          <w:color w:val="000000" w:themeColor="text1"/>
        </w:rPr>
      </w:pPr>
      <w:r w:rsidRPr="00755A8A">
        <w:rPr>
          <w:b/>
          <w:bCs/>
          <w:color w:val="000000" w:themeColor="text1"/>
        </w:rPr>
        <w:t>GOUVÊA, A. P. E. S.</w:t>
      </w:r>
      <w:r w:rsidRPr="00755A8A">
        <w:rPr>
          <w:color w:val="000000" w:themeColor="text1"/>
        </w:rPr>
        <w:t xml:space="preserve"> </w:t>
      </w:r>
      <w:r w:rsidRPr="00755A8A">
        <w:rPr>
          <w:i/>
          <w:iCs/>
          <w:color w:val="000000" w:themeColor="text1"/>
        </w:rPr>
        <w:t>Análise da eficiência e alocação dos fatores de produção na Zona Franca de Manaus</w:t>
      </w:r>
      <w:r w:rsidRPr="00755A8A">
        <w:rPr>
          <w:color w:val="000000" w:themeColor="text1"/>
        </w:rPr>
        <w:t>. Trabalho de Conclusão de Curso (Bacharelado em Ciências Econômicas) — Universidade Federal do Amazonas, Manaus, 2024. Disponível em: RIU/UFAM.</w:t>
      </w:r>
    </w:p>
    <w:p w14:paraId="7F566243" w14:textId="77777777" w:rsidR="009A761D" w:rsidRDefault="009A761D" w:rsidP="00AB44A1">
      <w:pPr>
        <w:rPr>
          <w:color w:val="000000" w:themeColor="text1"/>
        </w:rPr>
      </w:pPr>
    </w:p>
    <w:p w14:paraId="13DAC0B0" w14:textId="480999EB" w:rsidR="00755A8A" w:rsidRDefault="00755A8A" w:rsidP="00AB44A1">
      <w:pPr>
        <w:rPr>
          <w:color w:val="000000" w:themeColor="text1"/>
        </w:rPr>
      </w:pPr>
      <w:r w:rsidRPr="00755A8A">
        <w:rPr>
          <w:b/>
          <w:bCs/>
          <w:color w:val="000000" w:themeColor="text1"/>
        </w:rPr>
        <w:t>MORAIS, R. N. S.</w:t>
      </w:r>
      <w:r w:rsidRPr="00755A8A">
        <w:rPr>
          <w:color w:val="000000" w:themeColor="text1"/>
        </w:rPr>
        <w:t xml:space="preserve"> </w:t>
      </w:r>
      <w:r w:rsidRPr="00755A8A">
        <w:rPr>
          <w:i/>
          <w:iCs/>
          <w:color w:val="000000" w:themeColor="text1"/>
        </w:rPr>
        <w:t>Análise da eficiência dos setores industriais do Polo Industrial de Manaus</w:t>
      </w:r>
      <w:r w:rsidRPr="00755A8A">
        <w:rPr>
          <w:color w:val="000000" w:themeColor="text1"/>
        </w:rPr>
        <w:t>. Dissertação (Mestrado em Economia) — Universidade Católica de Brasília, Brasília, 2016.</w:t>
      </w:r>
    </w:p>
    <w:p w14:paraId="50FFC819" w14:textId="77777777" w:rsidR="00154D71" w:rsidRDefault="00154D71" w:rsidP="00AB44A1">
      <w:pPr>
        <w:rPr>
          <w:color w:val="000000" w:themeColor="text1"/>
        </w:rPr>
      </w:pPr>
    </w:p>
    <w:p w14:paraId="4CDBD389" w14:textId="3BC4EB64" w:rsidR="00154D71" w:rsidRPr="00E72418" w:rsidRDefault="00154D71" w:rsidP="00AB44A1">
      <w:pPr>
        <w:rPr>
          <w:color w:val="000000" w:themeColor="text1"/>
          <w:lang w:val="en-US"/>
        </w:rPr>
      </w:pPr>
      <w:r>
        <w:rPr>
          <w:color w:val="000000" w:themeColor="text1"/>
        </w:rPr>
        <w:t>F</w:t>
      </w:r>
      <w:r w:rsidRPr="00154D71">
        <w:rPr>
          <w:color w:val="000000" w:themeColor="text1"/>
        </w:rPr>
        <w:t xml:space="preserve">ÁVERO, L. P.; BELFIORE, P. </w:t>
      </w:r>
      <w:r w:rsidRPr="00154D71">
        <w:rPr>
          <w:b/>
          <w:bCs/>
          <w:color w:val="000000" w:themeColor="text1"/>
        </w:rPr>
        <w:t xml:space="preserve">Manual de análise de dados: estatística e machine learning com Excel®, SPSS®, </w:t>
      </w:r>
      <w:proofErr w:type="spellStart"/>
      <w:r w:rsidRPr="00154D71">
        <w:rPr>
          <w:b/>
          <w:bCs/>
          <w:color w:val="000000" w:themeColor="text1"/>
        </w:rPr>
        <w:t>Stata</w:t>
      </w:r>
      <w:proofErr w:type="spellEnd"/>
      <w:r w:rsidRPr="00154D71">
        <w:rPr>
          <w:b/>
          <w:bCs/>
          <w:color w:val="000000" w:themeColor="text1"/>
        </w:rPr>
        <w:t>®, R® e Python®</w:t>
      </w:r>
      <w:r w:rsidRPr="00154D71">
        <w:rPr>
          <w:color w:val="000000" w:themeColor="text1"/>
        </w:rPr>
        <w:t xml:space="preserve">. </w:t>
      </w:r>
      <w:r w:rsidRPr="00E72418">
        <w:rPr>
          <w:b/>
          <w:bCs/>
          <w:color w:val="000000" w:themeColor="text1"/>
          <w:lang w:val="en-US"/>
        </w:rPr>
        <w:t>2. ed.</w:t>
      </w:r>
      <w:r w:rsidRPr="00E72418">
        <w:rPr>
          <w:color w:val="000000" w:themeColor="text1"/>
          <w:lang w:val="en-US"/>
        </w:rPr>
        <w:t xml:space="preserve"> Rio de Janeiro: GEN | LTC, 2024.</w:t>
      </w:r>
    </w:p>
    <w:p w14:paraId="11DDA070" w14:textId="5DAF6DC5" w:rsidR="00D91AD3" w:rsidRPr="00E72418" w:rsidRDefault="00D91AD3" w:rsidP="00AB44A1">
      <w:pPr>
        <w:rPr>
          <w:color w:val="000000" w:themeColor="text1"/>
          <w:lang w:val="en-US"/>
        </w:rPr>
      </w:pPr>
    </w:p>
    <w:p w14:paraId="2B48E301" w14:textId="732E3691" w:rsidR="00D91AD3" w:rsidRPr="00E72418" w:rsidRDefault="00D91AD3" w:rsidP="00AB44A1">
      <w:pPr>
        <w:rPr>
          <w:color w:val="000000" w:themeColor="text1"/>
          <w:lang w:val="en-US"/>
        </w:rPr>
      </w:pPr>
      <w:r w:rsidRPr="00D91AD3">
        <w:rPr>
          <w:b/>
          <w:bCs/>
          <w:color w:val="000000" w:themeColor="text1"/>
          <w:lang w:val="en-US"/>
        </w:rPr>
        <w:t>CAVES, D. W.; CHRISTENSEN, L. R.; DIEWERT, W. E.</w:t>
      </w:r>
      <w:r w:rsidRPr="00D91AD3">
        <w:rPr>
          <w:color w:val="000000" w:themeColor="text1"/>
          <w:lang w:val="en-US"/>
        </w:rPr>
        <w:t xml:space="preserve"> The economic theory of index numbers and the measurement of input, output, and productivity. </w:t>
      </w:r>
      <w:proofErr w:type="spellStart"/>
      <w:r w:rsidRPr="00E72418">
        <w:rPr>
          <w:i/>
          <w:iCs/>
          <w:color w:val="000000" w:themeColor="text1"/>
          <w:lang w:val="en-US"/>
        </w:rPr>
        <w:t>Econometrica</w:t>
      </w:r>
      <w:proofErr w:type="spellEnd"/>
      <w:r w:rsidRPr="00E72418">
        <w:rPr>
          <w:color w:val="000000" w:themeColor="text1"/>
          <w:lang w:val="en-US"/>
        </w:rPr>
        <w:t>, v. 50, n. 6, p. 1393–1414, 1982. DOI: 10.2307/1913388.</w:t>
      </w:r>
    </w:p>
    <w:p w14:paraId="0D555BA0" w14:textId="77777777" w:rsidR="00D91AD3" w:rsidRPr="00E72418" w:rsidRDefault="00D91AD3" w:rsidP="00AB44A1">
      <w:pPr>
        <w:rPr>
          <w:color w:val="000000" w:themeColor="text1"/>
          <w:lang w:val="en-US"/>
        </w:rPr>
      </w:pPr>
    </w:p>
    <w:p w14:paraId="4916401A" w14:textId="5E5F8DFA" w:rsidR="00D91AD3" w:rsidRPr="00E72418" w:rsidRDefault="00D91AD3" w:rsidP="00AB44A1">
      <w:pPr>
        <w:rPr>
          <w:color w:val="000000" w:themeColor="text1"/>
          <w:lang w:val="en-US"/>
        </w:rPr>
      </w:pPr>
      <w:r w:rsidRPr="00D91AD3">
        <w:rPr>
          <w:b/>
          <w:bCs/>
          <w:color w:val="000000" w:themeColor="text1"/>
          <w:lang w:val="en-US"/>
        </w:rPr>
        <w:t>O’DONNELL, C. J.; RAO, D. S. P.; BATTESE, G. E.</w:t>
      </w:r>
      <w:r w:rsidRPr="00D91AD3">
        <w:rPr>
          <w:color w:val="000000" w:themeColor="text1"/>
          <w:lang w:val="en-US"/>
        </w:rPr>
        <w:t xml:space="preserve"> </w:t>
      </w:r>
      <w:proofErr w:type="spellStart"/>
      <w:r w:rsidRPr="00D91AD3">
        <w:rPr>
          <w:color w:val="000000" w:themeColor="text1"/>
          <w:lang w:val="en-US"/>
        </w:rPr>
        <w:t>Metafrontier</w:t>
      </w:r>
      <w:proofErr w:type="spellEnd"/>
      <w:r w:rsidRPr="00D91AD3">
        <w:rPr>
          <w:color w:val="000000" w:themeColor="text1"/>
          <w:lang w:val="en-US"/>
        </w:rPr>
        <w:t xml:space="preserve"> frameworks for the study of firm-level efficiencies and technology ratios. </w:t>
      </w:r>
      <w:r w:rsidRPr="00E72418">
        <w:rPr>
          <w:i/>
          <w:iCs/>
          <w:color w:val="000000" w:themeColor="text1"/>
          <w:lang w:val="en-US"/>
        </w:rPr>
        <w:t>Empirical Economics</w:t>
      </w:r>
      <w:r w:rsidRPr="00E72418">
        <w:rPr>
          <w:color w:val="000000" w:themeColor="text1"/>
          <w:lang w:val="en-US"/>
        </w:rPr>
        <w:t>, v. 34, n. 2, p. 231–255, 2008. DOI: 10.1007/s00181-007-0119-4.</w:t>
      </w:r>
    </w:p>
    <w:p w14:paraId="06412404" w14:textId="77777777" w:rsidR="00D91AD3" w:rsidRPr="00E72418" w:rsidRDefault="00D91AD3" w:rsidP="00AB44A1">
      <w:pPr>
        <w:rPr>
          <w:color w:val="000000" w:themeColor="text1"/>
          <w:lang w:val="en-US"/>
        </w:rPr>
      </w:pPr>
    </w:p>
    <w:p w14:paraId="4525FAB6" w14:textId="5FCA3375" w:rsidR="00D91AD3" w:rsidRPr="00E72418" w:rsidRDefault="00D91AD3" w:rsidP="00AB44A1">
      <w:pPr>
        <w:rPr>
          <w:color w:val="000000" w:themeColor="text1"/>
          <w:lang w:val="en-US"/>
        </w:rPr>
      </w:pPr>
      <w:r w:rsidRPr="00D91AD3">
        <w:rPr>
          <w:b/>
          <w:bCs/>
          <w:color w:val="000000" w:themeColor="text1"/>
          <w:lang w:val="en-US"/>
        </w:rPr>
        <w:t>LEMOS, M. M.; LINS, R. D.; EBECKEN, N. F. F.</w:t>
      </w:r>
      <w:r w:rsidRPr="00D91AD3">
        <w:rPr>
          <w:color w:val="000000" w:themeColor="text1"/>
          <w:lang w:val="en-US"/>
        </w:rPr>
        <w:t xml:space="preserve"> A compendium of clustering algorithms for data mining. </w:t>
      </w:r>
      <w:r w:rsidRPr="00D91AD3">
        <w:rPr>
          <w:i/>
          <w:iCs/>
          <w:color w:val="000000" w:themeColor="text1"/>
          <w:lang w:val="en-US"/>
        </w:rPr>
        <w:t>WIT Transactions on Information and Communication Technologies</w:t>
      </w:r>
      <w:r w:rsidRPr="00D91AD3">
        <w:rPr>
          <w:color w:val="000000" w:themeColor="text1"/>
          <w:lang w:val="en-US"/>
        </w:rPr>
        <w:t xml:space="preserve">, v. 35, p. 321–329, 2005. (Em: </w:t>
      </w:r>
      <w:r w:rsidRPr="00D91AD3">
        <w:rPr>
          <w:i/>
          <w:iCs/>
          <w:color w:val="000000" w:themeColor="text1"/>
          <w:lang w:val="en-US"/>
        </w:rPr>
        <w:t>Data Mining VI</w:t>
      </w:r>
      <w:r w:rsidRPr="00D91AD3">
        <w:rPr>
          <w:color w:val="000000" w:themeColor="text1"/>
          <w:lang w:val="en-US"/>
        </w:rPr>
        <w:t xml:space="preserve">). </w:t>
      </w:r>
      <w:r w:rsidRPr="00E72418">
        <w:rPr>
          <w:color w:val="000000" w:themeColor="text1"/>
          <w:lang w:val="en-US"/>
        </w:rPr>
        <w:t>Southampton: WIT Press.</w:t>
      </w:r>
    </w:p>
    <w:p w14:paraId="38DCBEC8" w14:textId="77777777" w:rsidR="00D91AD3" w:rsidRPr="00E72418" w:rsidRDefault="00D91AD3" w:rsidP="00AB44A1">
      <w:pPr>
        <w:rPr>
          <w:color w:val="000000" w:themeColor="text1"/>
          <w:lang w:val="en-US"/>
        </w:rPr>
      </w:pPr>
    </w:p>
    <w:p w14:paraId="75D73ED2" w14:textId="1C080B29" w:rsidR="00D91AD3" w:rsidRPr="00E72418" w:rsidRDefault="00755A8A" w:rsidP="00AB44A1">
      <w:pPr>
        <w:rPr>
          <w:color w:val="000000" w:themeColor="text1"/>
        </w:rPr>
      </w:pPr>
      <w:r>
        <w:rPr>
          <w:b/>
          <w:bCs/>
          <w:color w:val="000000" w:themeColor="text1"/>
          <w:lang w:val="en-US"/>
        </w:rPr>
        <w:t>C</w:t>
      </w:r>
      <w:r w:rsidR="00D91AD3" w:rsidRPr="00D91AD3">
        <w:rPr>
          <w:b/>
          <w:bCs/>
          <w:color w:val="000000" w:themeColor="text1"/>
          <w:lang w:val="en-US"/>
        </w:rPr>
        <w:t>ASTILHO, M.; MENÉNDEZ, M.; SZTULMAN, A.</w:t>
      </w:r>
      <w:r w:rsidR="00D91AD3" w:rsidRPr="00D91AD3">
        <w:rPr>
          <w:color w:val="000000" w:themeColor="text1"/>
          <w:lang w:val="en-US"/>
        </w:rPr>
        <w:t xml:space="preserve"> Poverty changes in Manaus: Legacy of a Brazilian free trade zone? </w:t>
      </w:r>
      <w:r w:rsidR="00D91AD3" w:rsidRPr="00E72418">
        <w:rPr>
          <w:i/>
          <w:iCs/>
          <w:color w:val="000000" w:themeColor="text1"/>
        </w:rPr>
        <w:t xml:space="preserve">Review </w:t>
      </w:r>
      <w:proofErr w:type="spellStart"/>
      <w:r w:rsidR="00D91AD3" w:rsidRPr="00E72418">
        <w:rPr>
          <w:i/>
          <w:iCs/>
          <w:color w:val="000000" w:themeColor="text1"/>
        </w:rPr>
        <w:t>of</w:t>
      </w:r>
      <w:proofErr w:type="spellEnd"/>
      <w:r w:rsidR="00D91AD3" w:rsidRPr="00E72418">
        <w:rPr>
          <w:i/>
          <w:iCs/>
          <w:color w:val="000000" w:themeColor="text1"/>
        </w:rPr>
        <w:t xml:space="preserve"> </w:t>
      </w:r>
      <w:proofErr w:type="spellStart"/>
      <w:r w:rsidR="00D91AD3" w:rsidRPr="00E72418">
        <w:rPr>
          <w:i/>
          <w:iCs/>
          <w:color w:val="000000" w:themeColor="text1"/>
        </w:rPr>
        <w:t>Development</w:t>
      </w:r>
      <w:proofErr w:type="spellEnd"/>
      <w:r w:rsidR="00D91AD3" w:rsidRPr="00E72418">
        <w:rPr>
          <w:i/>
          <w:iCs/>
          <w:color w:val="000000" w:themeColor="text1"/>
        </w:rPr>
        <w:t xml:space="preserve"> </w:t>
      </w:r>
      <w:proofErr w:type="spellStart"/>
      <w:r w:rsidR="00D91AD3" w:rsidRPr="00E72418">
        <w:rPr>
          <w:i/>
          <w:iCs/>
          <w:color w:val="000000" w:themeColor="text1"/>
        </w:rPr>
        <w:t>Economics</w:t>
      </w:r>
      <w:proofErr w:type="spellEnd"/>
      <w:r w:rsidR="00D91AD3" w:rsidRPr="00E72418">
        <w:rPr>
          <w:color w:val="000000" w:themeColor="text1"/>
        </w:rPr>
        <w:t>, v. 23, n. 1, p. 102–130, 2019. DOI: 10.1111/rode.12560.</w:t>
      </w:r>
    </w:p>
    <w:p w14:paraId="42E8D006" w14:textId="77777777" w:rsidR="00D91AD3" w:rsidRPr="00E72418" w:rsidRDefault="00D91AD3" w:rsidP="00AB44A1">
      <w:pPr>
        <w:rPr>
          <w:color w:val="000000" w:themeColor="text1"/>
        </w:rPr>
      </w:pPr>
    </w:p>
    <w:p w14:paraId="58116CFB" w14:textId="4CBE73A8" w:rsidR="008C197F" w:rsidRPr="00755A8A" w:rsidRDefault="008C197F" w:rsidP="00AB44A1">
      <w:pPr>
        <w:rPr>
          <w:color w:val="000000" w:themeColor="text1"/>
          <w:lang w:val="en-US"/>
        </w:rPr>
      </w:pPr>
      <w:r w:rsidRPr="008C197F">
        <w:rPr>
          <w:b/>
          <w:bCs/>
          <w:color w:val="000000" w:themeColor="text1"/>
        </w:rPr>
        <w:t>QUEIROZ FILHO</w:t>
      </w:r>
      <w:r w:rsidRPr="008C197F">
        <w:rPr>
          <w:color w:val="000000" w:themeColor="text1"/>
        </w:rPr>
        <w:t xml:space="preserve">, A. S. M. de. </w:t>
      </w:r>
      <w:r w:rsidRPr="008C197F">
        <w:rPr>
          <w:i/>
          <w:iCs/>
          <w:color w:val="000000" w:themeColor="text1"/>
        </w:rPr>
        <w:t>Avaliação de impacto da Lei de Informática: 2006–2017</w:t>
      </w:r>
      <w:r w:rsidRPr="008C197F">
        <w:rPr>
          <w:color w:val="000000" w:themeColor="text1"/>
        </w:rPr>
        <w:t>. Texto para Discussão. Brasília: Ipea, 2022.</w:t>
      </w:r>
    </w:p>
    <w:p w14:paraId="675D5616" w14:textId="339AACDA" w:rsidR="00FD1DAE" w:rsidRPr="00755A8A" w:rsidRDefault="00FD1DAE" w:rsidP="00F97AF0">
      <w:pPr>
        <w:rPr>
          <w:color w:val="FF0000"/>
          <w:lang w:val="en-US"/>
        </w:rPr>
      </w:pPr>
    </w:p>
    <w:sectPr w:rsidR="00FD1DAE" w:rsidRPr="00755A8A" w:rsidSect="00331C4D">
      <w:headerReference w:type="default" r:id="rId9"/>
      <w:pgSz w:w="11906" w:h="16838"/>
      <w:pgMar w:top="1417" w:right="1701" w:bottom="1417"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28694" w14:textId="77777777" w:rsidR="00DC2430" w:rsidRDefault="00DC2430" w:rsidP="00A00FD4">
      <w:pPr>
        <w:spacing w:line="240" w:lineRule="auto"/>
      </w:pPr>
      <w:r>
        <w:separator/>
      </w:r>
    </w:p>
  </w:endnote>
  <w:endnote w:type="continuationSeparator" w:id="0">
    <w:p w14:paraId="14D553A7" w14:textId="77777777" w:rsidR="00DC2430" w:rsidRDefault="00DC2430" w:rsidP="00A00F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6350D" w14:textId="77777777" w:rsidR="00DC2430" w:rsidRDefault="00DC2430" w:rsidP="00A00FD4">
      <w:pPr>
        <w:spacing w:line="240" w:lineRule="auto"/>
      </w:pPr>
      <w:r>
        <w:separator/>
      </w:r>
    </w:p>
  </w:footnote>
  <w:footnote w:type="continuationSeparator" w:id="0">
    <w:p w14:paraId="59956391" w14:textId="77777777" w:rsidR="00DC2430" w:rsidRDefault="00DC2430" w:rsidP="00A00F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1844" w14:textId="12E54AC5" w:rsidR="0037760C" w:rsidRDefault="0037760C">
    <w:pPr>
      <w:pStyle w:val="Cabealho"/>
      <w:jc w:val="right"/>
    </w:pPr>
  </w:p>
  <w:p w14:paraId="4188BE1F" w14:textId="77777777" w:rsidR="0037760C" w:rsidRDefault="0037760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FA6"/>
    <w:multiLevelType w:val="hybridMultilevel"/>
    <w:tmpl w:val="4A2E30B8"/>
    <w:lvl w:ilvl="0" w:tplc="D2BC2ADA">
      <w:start w:val="1"/>
      <w:numFmt w:val="decimal"/>
      <w:lvlText w:val="%1."/>
      <w:lvlJc w:val="left"/>
      <w:pPr>
        <w:ind w:left="502" w:hanging="360"/>
      </w:p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 w15:restartNumberingAfterBreak="0">
    <w:nsid w:val="01635486"/>
    <w:multiLevelType w:val="multilevel"/>
    <w:tmpl w:val="A754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E5EA1"/>
    <w:multiLevelType w:val="hybridMultilevel"/>
    <w:tmpl w:val="4380E96A"/>
    <w:lvl w:ilvl="0" w:tplc="04EC2D3E">
      <w:start w:val="2"/>
      <w:numFmt w:val="decimal"/>
      <w:lvlText w:val="%1."/>
      <w:lvlJc w:val="left"/>
      <w:pPr>
        <w:ind w:left="360" w:hanging="360"/>
      </w:pPr>
      <w:rPr>
        <w:rFonts w:hint="default"/>
      </w:rPr>
    </w:lvl>
    <w:lvl w:ilvl="1" w:tplc="0416000F">
      <w:start w:val="1"/>
      <w:numFmt w:val="decimal"/>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 w15:restartNumberingAfterBreak="0">
    <w:nsid w:val="06DB1D4A"/>
    <w:multiLevelType w:val="hybridMultilevel"/>
    <w:tmpl w:val="C75EEC2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B475944"/>
    <w:multiLevelType w:val="hybridMultilevel"/>
    <w:tmpl w:val="35845F7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BF453DC"/>
    <w:multiLevelType w:val="multilevel"/>
    <w:tmpl w:val="E480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93A8B"/>
    <w:multiLevelType w:val="hybridMultilevel"/>
    <w:tmpl w:val="41FA6B2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18D7FC7"/>
    <w:multiLevelType w:val="multilevel"/>
    <w:tmpl w:val="9524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F32EC"/>
    <w:multiLevelType w:val="hybridMultilevel"/>
    <w:tmpl w:val="6E2AE44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5C561C7"/>
    <w:multiLevelType w:val="hybridMultilevel"/>
    <w:tmpl w:val="48C404D0"/>
    <w:lvl w:ilvl="0" w:tplc="0416001B">
      <w:start w:val="1"/>
      <w:numFmt w:val="lowerRoman"/>
      <w:lvlText w:val="%1."/>
      <w:lvlJc w:val="righ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15EA61A3"/>
    <w:multiLevelType w:val="hybridMultilevel"/>
    <w:tmpl w:val="FD7406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A98760D"/>
    <w:multiLevelType w:val="hybridMultilevel"/>
    <w:tmpl w:val="51801B66"/>
    <w:lvl w:ilvl="0" w:tplc="AAEEEC28">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FD0148C"/>
    <w:multiLevelType w:val="hybridMultilevel"/>
    <w:tmpl w:val="C320153A"/>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3" w15:restartNumberingAfterBreak="0">
    <w:nsid w:val="2063369A"/>
    <w:multiLevelType w:val="hybridMultilevel"/>
    <w:tmpl w:val="F03E12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2152B65"/>
    <w:multiLevelType w:val="multilevel"/>
    <w:tmpl w:val="016E1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115A18"/>
    <w:multiLevelType w:val="multilevel"/>
    <w:tmpl w:val="262A9EC2"/>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A26FAE"/>
    <w:multiLevelType w:val="multilevel"/>
    <w:tmpl w:val="4BD6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10E53"/>
    <w:multiLevelType w:val="hybridMultilevel"/>
    <w:tmpl w:val="584CF5BC"/>
    <w:lvl w:ilvl="0" w:tplc="0416001B">
      <w:start w:val="1"/>
      <w:numFmt w:val="lowerRoman"/>
      <w:lvlText w:val="%1."/>
      <w:lvlJc w:val="right"/>
      <w:pPr>
        <w:ind w:left="1428" w:hanging="360"/>
      </w:pPr>
    </w:lvl>
    <w:lvl w:ilvl="1" w:tplc="04160019">
      <w:start w:val="1"/>
      <w:numFmt w:val="lowerLetter"/>
      <w:lvlText w:val="%2."/>
      <w:lvlJc w:val="left"/>
      <w:pPr>
        <w:ind w:left="2148" w:hanging="360"/>
      </w:pPr>
    </w:lvl>
    <w:lvl w:ilvl="2" w:tplc="0416001B">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8" w15:restartNumberingAfterBreak="0">
    <w:nsid w:val="40511555"/>
    <w:multiLevelType w:val="hybridMultilevel"/>
    <w:tmpl w:val="0E88EA6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85927CC"/>
    <w:multiLevelType w:val="hybridMultilevel"/>
    <w:tmpl w:val="365845B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E5C2761"/>
    <w:multiLevelType w:val="multilevel"/>
    <w:tmpl w:val="28B0334A"/>
    <w:lvl w:ilvl="0">
      <w:start w:val="1"/>
      <w:numFmt w:val="decimal"/>
      <w:pStyle w:val="Ttulo1"/>
      <w:lvlText w:val="%1"/>
      <w:lvlJc w:val="left"/>
      <w:pPr>
        <w:ind w:left="1080" w:hanging="360"/>
      </w:pPr>
      <w:rPr>
        <w:rFonts w:hint="default"/>
      </w:rPr>
    </w:lvl>
    <w:lvl w:ilvl="1">
      <w:start w:val="1"/>
      <w:numFmt w:val="decimal"/>
      <w:pStyle w:val="Ttulo2"/>
      <w:isLgl/>
      <w:lvlText w:val="%1.%2"/>
      <w:lvlJc w:val="left"/>
      <w:pPr>
        <w:ind w:left="1080" w:hanging="360"/>
      </w:pPr>
      <w:rPr>
        <w:rFonts w:hint="default"/>
      </w:rPr>
    </w:lvl>
    <w:lvl w:ilvl="2">
      <w:start w:val="1"/>
      <w:numFmt w:val="decimal"/>
      <w:isLgl/>
      <w:lvlText w:val="%1.%2.%3"/>
      <w:lvlJc w:val="left"/>
      <w:pPr>
        <w:ind w:left="1440" w:hanging="720"/>
      </w:p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5E6641D1"/>
    <w:multiLevelType w:val="hybridMultilevel"/>
    <w:tmpl w:val="8660951E"/>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2" w15:restartNumberingAfterBreak="0">
    <w:nsid w:val="5FB454D5"/>
    <w:multiLevelType w:val="hybridMultilevel"/>
    <w:tmpl w:val="00449D0A"/>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3" w15:restartNumberingAfterBreak="0">
    <w:nsid w:val="6132031B"/>
    <w:multiLevelType w:val="multilevel"/>
    <w:tmpl w:val="8A2AD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9E5408"/>
    <w:multiLevelType w:val="hybridMultilevel"/>
    <w:tmpl w:val="FCEED9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5344187"/>
    <w:multiLevelType w:val="hybridMultilevel"/>
    <w:tmpl w:val="2E106A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67677DD"/>
    <w:multiLevelType w:val="hybridMultilevel"/>
    <w:tmpl w:val="7A5ED95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7" w15:restartNumberingAfterBreak="0">
    <w:nsid w:val="6D925517"/>
    <w:multiLevelType w:val="hybridMultilevel"/>
    <w:tmpl w:val="D0781F3E"/>
    <w:lvl w:ilvl="0" w:tplc="5AC0CEF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34A1F47"/>
    <w:multiLevelType w:val="hybridMultilevel"/>
    <w:tmpl w:val="2A80F2F2"/>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9" w15:restartNumberingAfterBreak="0">
    <w:nsid w:val="782E4590"/>
    <w:multiLevelType w:val="multilevel"/>
    <w:tmpl w:val="D32C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002AFD"/>
    <w:multiLevelType w:val="hybridMultilevel"/>
    <w:tmpl w:val="F1D2CCDA"/>
    <w:lvl w:ilvl="0" w:tplc="78803A8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A0B5371"/>
    <w:multiLevelType w:val="hybridMultilevel"/>
    <w:tmpl w:val="7EBC9A5A"/>
    <w:lvl w:ilvl="0" w:tplc="04160011">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num w:numId="1" w16cid:durableId="430440883">
    <w:abstractNumId w:val="30"/>
  </w:num>
  <w:num w:numId="2" w16cid:durableId="2126344999">
    <w:abstractNumId w:val="3"/>
  </w:num>
  <w:num w:numId="3" w16cid:durableId="262537969">
    <w:abstractNumId w:val="0"/>
  </w:num>
  <w:num w:numId="4" w16cid:durableId="775756456">
    <w:abstractNumId w:val="11"/>
  </w:num>
  <w:num w:numId="5" w16cid:durableId="415445905">
    <w:abstractNumId w:val="18"/>
  </w:num>
  <w:num w:numId="6" w16cid:durableId="2030791277">
    <w:abstractNumId w:val="6"/>
  </w:num>
  <w:num w:numId="7" w16cid:durableId="1931231489">
    <w:abstractNumId w:val="21"/>
  </w:num>
  <w:num w:numId="8" w16cid:durableId="1646161004">
    <w:abstractNumId w:val="27"/>
  </w:num>
  <w:num w:numId="9" w16cid:durableId="1675457290">
    <w:abstractNumId w:val="20"/>
  </w:num>
  <w:num w:numId="10" w16cid:durableId="122845631">
    <w:abstractNumId w:val="19"/>
  </w:num>
  <w:num w:numId="11" w16cid:durableId="970594255">
    <w:abstractNumId w:val="24"/>
  </w:num>
  <w:num w:numId="12" w16cid:durableId="514735042">
    <w:abstractNumId w:val="26"/>
  </w:num>
  <w:num w:numId="13" w16cid:durableId="214317797">
    <w:abstractNumId w:val="25"/>
  </w:num>
  <w:num w:numId="14" w16cid:durableId="1084646768">
    <w:abstractNumId w:val="8"/>
  </w:num>
  <w:num w:numId="15" w16cid:durableId="673533189">
    <w:abstractNumId w:val="2"/>
  </w:num>
  <w:num w:numId="16" w16cid:durableId="251596300">
    <w:abstractNumId w:val="4"/>
  </w:num>
  <w:num w:numId="17" w16cid:durableId="712190558">
    <w:abstractNumId w:val="9"/>
  </w:num>
  <w:num w:numId="18" w16cid:durableId="848060014">
    <w:abstractNumId w:val="22"/>
  </w:num>
  <w:num w:numId="19" w16cid:durableId="2085570273">
    <w:abstractNumId w:val="31"/>
  </w:num>
  <w:num w:numId="20" w16cid:durableId="110241372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279596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27738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224352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01263927">
    <w:abstractNumId w:val="28"/>
  </w:num>
  <w:num w:numId="25" w16cid:durableId="2008093230">
    <w:abstractNumId w:val="17"/>
  </w:num>
  <w:num w:numId="26" w16cid:durableId="423308411">
    <w:abstractNumId w:val="1"/>
  </w:num>
  <w:num w:numId="27" w16cid:durableId="1171330252">
    <w:abstractNumId w:val="14"/>
  </w:num>
  <w:num w:numId="28" w16cid:durableId="1739130396">
    <w:abstractNumId w:val="7"/>
  </w:num>
  <w:num w:numId="29" w16cid:durableId="102111417">
    <w:abstractNumId w:val="15"/>
  </w:num>
  <w:num w:numId="30" w16cid:durableId="104664482">
    <w:abstractNumId w:val="13"/>
  </w:num>
  <w:num w:numId="31" w16cid:durableId="1646741337">
    <w:abstractNumId w:val="16"/>
  </w:num>
  <w:num w:numId="32" w16cid:durableId="983698832">
    <w:abstractNumId w:val="23"/>
  </w:num>
  <w:num w:numId="33" w16cid:durableId="113520144">
    <w:abstractNumId w:val="5"/>
  </w:num>
  <w:num w:numId="34" w16cid:durableId="1687250744">
    <w:abstractNumId w:val="10"/>
  </w:num>
  <w:num w:numId="35" w16cid:durableId="976380353">
    <w:abstractNumId w:val="29"/>
  </w:num>
  <w:num w:numId="36" w16cid:durableId="11721393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11A"/>
    <w:rsid w:val="0001041A"/>
    <w:rsid w:val="00011262"/>
    <w:rsid w:val="000126FE"/>
    <w:rsid w:val="00015FA8"/>
    <w:rsid w:val="00020975"/>
    <w:rsid w:val="000366D6"/>
    <w:rsid w:val="00052952"/>
    <w:rsid w:val="000845A6"/>
    <w:rsid w:val="00087AFE"/>
    <w:rsid w:val="00097A11"/>
    <w:rsid w:val="000A3627"/>
    <w:rsid w:val="000C5192"/>
    <w:rsid w:val="000E11C3"/>
    <w:rsid w:val="000E1B64"/>
    <w:rsid w:val="000E5AA0"/>
    <w:rsid w:val="000E7EA2"/>
    <w:rsid w:val="000F53EF"/>
    <w:rsid w:val="000F7EB0"/>
    <w:rsid w:val="001059F3"/>
    <w:rsid w:val="00120567"/>
    <w:rsid w:val="0012232B"/>
    <w:rsid w:val="00154D71"/>
    <w:rsid w:val="00160505"/>
    <w:rsid w:val="001609AF"/>
    <w:rsid w:val="00181194"/>
    <w:rsid w:val="00192182"/>
    <w:rsid w:val="00192F05"/>
    <w:rsid w:val="001958D5"/>
    <w:rsid w:val="001A41A9"/>
    <w:rsid w:val="001A4F17"/>
    <w:rsid w:val="001A7395"/>
    <w:rsid w:val="001C1184"/>
    <w:rsid w:val="001E2CFA"/>
    <w:rsid w:val="00211F10"/>
    <w:rsid w:val="002134DE"/>
    <w:rsid w:val="00230CA9"/>
    <w:rsid w:val="002333B5"/>
    <w:rsid w:val="002410DA"/>
    <w:rsid w:val="00257ED0"/>
    <w:rsid w:val="002707CD"/>
    <w:rsid w:val="002A6E66"/>
    <w:rsid w:val="002B5978"/>
    <w:rsid w:val="002C5D8E"/>
    <w:rsid w:val="002D4072"/>
    <w:rsid w:val="002D755D"/>
    <w:rsid w:val="002E235E"/>
    <w:rsid w:val="002F0C31"/>
    <w:rsid w:val="00304675"/>
    <w:rsid w:val="003168C4"/>
    <w:rsid w:val="003205A6"/>
    <w:rsid w:val="00326258"/>
    <w:rsid w:val="00331C4D"/>
    <w:rsid w:val="00332678"/>
    <w:rsid w:val="003628DD"/>
    <w:rsid w:val="00363E64"/>
    <w:rsid w:val="0037760C"/>
    <w:rsid w:val="003847D2"/>
    <w:rsid w:val="003935D5"/>
    <w:rsid w:val="00397B0E"/>
    <w:rsid w:val="003A31B3"/>
    <w:rsid w:val="003B6EBC"/>
    <w:rsid w:val="003C04D2"/>
    <w:rsid w:val="003D1783"/>
    <w:rsid w:val="003F3B99"/>
    <w:rsid w:val="003F5590"/>
    <w:rsid w:val="004072CC"/>
    <w:rsid w:val="00433A31"/>
    <w:rsid w:val="004344E7"/>
    <w:rsid w:val="00447432"/>
    <w:rsid w:val="00460ACA"/>
    <w:rsid w:val="00461DA0"/>
    <w:rsid w:val="00481C78"/>
    <w:rsid w:val="004B21D2"/>
    <w:rsid w:val="004C7D75"/>
    <w:rsid w:val="004E3772"/>
    <w:rsid w:val="004E3FAC"/>
    <w:rsid w:val="005067DC"/>
    <w:rsid w:val="00507953"/>
    <w:rsid w:val="00523C52"/>
    <w:rsid w:val="00534D7B"/>
    <w:rsid w:val="005467F1"/>
    <w:rsid w:val="00560822"/>
    <w:rsid w:val="00560A3F"/>
    <w:rsid w:val="00574E39"/>
    <w:rsid w:val="00581797"/>
    <w:rsid w:val="0058345B"/>
    <w:rsid w:val="005923ED"/>
    <w:rsid w:val="005A0EA3"/>
    <w:rsid w:val="005B3C3B"/>
    <w:rsid w:val="005B624F"/>
    <w:rsid w:val="005B7DF4"/>
    <w:rsid w:val="005C1749"/>
    <w:rsid w:val="005C307E"/>
    <w:rsid w:val="005C5DD3"/>
    <w:rsid w:val="005C6ACD"/>
    <w:rsid w:val="006251B4"/>
    <w:rsid w:val="0063196E"/>
    <w:rsid w:val="0063710C"/>
    <w:rsid w:val="00637571"/>
    <w:rsid w:val="006378F5"/>
    <w:rsid w:val="00650B4A"/>
    <w:rsid w:val="00665304"/>
    <w:rsid w:val="00671D0D"/>
    <w:rsid w:val="006904A8"/>
    <w:rsid w:val="006A505D"/>
    <w:rsid w:val="006A67F3"/>
    <w:rsid w:val="006D4081"/>
    <w:rsid w:val="006D562E"/>
    <w:rsid w:val="006E3ACD"/>
    <w:rsid w:val="006F69EF"/>
    <w:rsid w:val="00710EAE"/>
    <w:rsid w:val="00711F77"/>
    <w:rsid w:val="00740B98"/>
    <w:rsid w:val="0074467C"/>
    <w:rsid w:val="00745ECB"/>
    <w:rsid w:val="00752A19"/>
    <w:rsid w:val="007540E2"/>
    <w:rsid w:val="00755A8A"/>
    <w:rsid w:val="007643B0"/>
    <w:rsid w:val="007675D4"/>
    <w:rsid w:val="007805CD"/>
    <w:rsid w:val="00792468"/>
    <w:rsid w:val="00794651"/>
    <w:rsid w:val="007A750E"/>
    <w:rsid w:val="007C3727"/>
    <w:rsid w:val="007C58CD"/>
    <w:rsid w:val="007D0742"/>
    <w:rsid w:val="007D2D54"/>
    <w:rsid w:val="007F74B2"/>
    <w:rsid w:val="00811DCC"/>
    <w:rsid w:val="00814455"/>
    <w:rsid w:val="0083074A"/>
    <w:rsid w:val="008333FC"/>
    <w:rsid w:val="0085067B"/>
    <w:rsid w:val="00855E13"/>
    <w:rsid w:val="00856929"/>
    <w:rsid w:val="0086340D"/>
    <w:rsid w:val="008652DD"/>
    <w:rsid w:val="00865AC1"/>
    <w:rsid w:val="00876DC2"/>
    <w:rsid w:val="00880DCC"/>
    <w:rsid w:val="008A286F"/>
    <w:rsid w:val="008A2C44"/>
    <w:rsid w:val="008B4DE9"/>
    <w:rsid w:val="008C197F"/>
    <w:rsid w:val="008D754B"/>
    <w:rsid w:val="008E25CE"/>
    <w:rsid w:val="008E376D"/>
    <w:rsid w:val="008F0A71"/>
    <w:rsid w:val="008F1D20"/>
    <w:rsid w:val="009148C3"/>
    <w:rsid w:val="00946C2D"/>
    <w:rsid w:val="009653FD"/>
    <w:rsid w:val="00974969"/>
    <w:rsid w:val="00982678"/>
    <w:rsid w:val="009A4F59"/>
    <w:rsid w:val="009A761D"/>
    <w:rsid w:val="009D2B22"/>
    <w:rsid w:val="009D75E9"/>
    <w:rsid w:val="009D782E"/>
    <w:rsid w:val="009E247F"/>
    <w:rsid w:val="00A00FD4"/>
    <w:rsid w:val="00A015F6"/>
    <w:rsid w:val="00A064CE"/>
    <w:rsid w:val="00A14179"/>
    <w:rsid w:val="00A538A6"/>
    <w:rsid w:val="00A56BA0"/>
    <w:rsid w:val="00A57250"/>
    <w:rsid w:val="00A603C8"/>
    <w:rsid w:val="00A96983"/>
    <w:rsid w:val="00AB44A1"/>
    <w:rsid w:val="00AC03C4"/>
    <w:rsid w:val="00AD2800"/>
    <w:rsid w:val="00AD6095"/>
    <w:rsid w:val="00AD7D43"/>
    <w:rsid w:val="00AE187C"/>
    <w:rsid w:val="00AF3110"/>
    <w:rsid w:val="00B07668"/>
    <w:rsid w:val="00B11E7E"/>
    <w:rsid w:val="00B14852"/>
    <w:rsid w:val="00B2035F"/>
    <w:rsid w:val="00B237CD"/>
    <w:rsid w:val="00B33BE6"/>
    <w:rsid w:val="00B36113"/>
    <w:rsid w:val="00B379C4"/>
    <w:rsid w:val="00B4384F"/>
    <w:rsid w:val="00B46204"/>
    <w:rsid w:val="00B55B7D"/>
    <w:rsid w:val="00B60AEB"/>
    <w:rsid w:val="00B61AC5"/>
    <w:rsid w:val="00B74648"/>
    <w:rsid w:val="00B766D4"/>
    <w:rsid w:val="00B81A5D"/>
    <w:rsid w:val="00BB4F0C"/>
    <w:rsid w:val="00BC6AF2"/>
    <w:rsid w:val="00BC7539"/>
    <w:rsid w:val="00BD2444"/>
    <w:rsid w:val="00BF070A"/>
    <w:rsid w:val="00BF4954"/>
    <w:rsid w:val="00C062ED"/>
    <w:rsid w:val="00C064B7"/>
    <w:rsid w:val="00C26EE7"/>
    <w:rsid w:val="00C278D2"/>
    <w:rsid w:val="00C305DC"/>
    <w:rsid w:val="00C449C9"/>
    <w:rsid w:val="00C54649"/>
    <w:rsid w:val="00C84827"/>
    <w:rsid w:val="00C85AFA"/>
    <w:rsid w:val="00C910AA"/>
    <w:rsid w:val="00CA6915"/>
    <w:rsid w:val="00CA739C"/>
    <w:rsid w:val="00CA747D"/>
    <w:rsid w:val="00CB62C0"/>
    <w:rsid w:val="00CD17A4"/>
    <w:rsid w:val="00CD60EF"/>
    <w:rsid w:val="00CE1A6F"/>
    <w:rsid w:val="00CE6A6B"/>
    <w:rsid w:val="00D037F2"/>
    <w:rsid w:val="00D07007"/>
    <w:rsid w:val="00D16D85"/>
    <w:rsid w:val="00D446D6"/>
    <w:rsid w:val="00D53A4D"/>
    <w:rsid w:val="00D60844"/>
    <w:rsid w:val="00D61021"/>
    <w:rsid w:val="00D80727"/>
    <w:rsid w:val="00D82476"/>
    <w:rsid w:val="00D874CC"/>
    <w:rsid w:val="00D91AD3"/>
    <w:rsid w:val="00D95920"/>
    <w:rsid w:val="00DC0339"/>
    <w:rsid w:val="00DC19E8"/>
    <w:rsid w:val="00DC2430"/>
    <w:rsid w:val="00DC36E8"/>
    <w:rsid w:val="00DD31DC"/>
    <w:rsid w:val="00DE3815"/>
    <w:rsid w:val="00E119AF"/>
    <w:rsid w:val="00E23095"/>
    <w:rsid w:val="00E266C9"/>
    <w:rsid w:val="00E278BD"/>
    <w:rsid w:val="00E32617"/>
    <w:rsid w:val="00E33198"/>
    <w:rsid w:val="00E37A2C"/>
    <w:rsid w:val="00E4411A"/>
    <w:rsid w:val="00E662F4"/>
    <w:rsid w:val="00E72418"/>
    <w:rsid w:val="00E84336"/>
    <w:rsid w:val="00E845A9"/>
    <w:rsid w:val="00E86EC1"/>
    <w:rsid w:val="00EA0D8F"/>
    <w:rsid w:val="00EA2642"/>
    <w:rsid w:val="00EB5466"/>
    <w:rsid w:val="00EC438A"/>
    <w:rsid w:val="00ED2308"/>
    <w:rsid w:val="00ED7B2F"/>
    <w:rsid w:val="00EE1B06"/>
    <w:rsid w:val="00EE20AB"/>
    <w:rsid w:val="00EE272D"/>
    <w:rsid w:val="00EE714A"/>
    <w:rsid w:val="00F01AEE"/>
    <w:rsid w:val="00F267C1"/>
    <w:rsid w:val="00F406CD"/>
    <w:rsid w:val="00F472B8"/>
    <w:rsid w:val="00F57326"/>
    <w:rsid w:val="00F7526F"/>
    <w:rsid w:val="00F8186E"/>
    <w:rsid w:val="00F91823"/>
    <w:rsid w:val="00F96C49"/>
    <w:rsid w:val="00F97AF0"/>
    <w:rsid w:val="00FA3C85"/>
    <w:rsid w:val="00FB2265"/>
    <w:rsid w:val="00FB3683"/>
    <w:rsid w:val="00FB4461"/>
    <w:rsid w:val="00FB7827"/>
    <w:rsid w:val="00FD1A52"/>
    <w:rsid w:val="00FD1DAE"/>
    <w:rsid w:val="00FD5F33"/>
    <w:rsid w:val="00FF66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6C199"/>
  <w15:chartTrackingRefBased/>
  <w15:docId w15:val="{AE06FFF2-F3A2-437E-925E-71BA26222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EE7"/>
    <w:pPr>
      <w:spacing w:after="0" w:line="360" w:lineRule="auto"/>
      <w:jc w:val="both"/>
    </w:pPr>
    <w:rPr>
      <w:rFonts w:ascii="Times New Roman" w:hAnsi="Times New Roman"/>
      <w:sz w:val="24"/>
    </w:rPr>
  </w:style>
  <w:style w:type="paragraph" w:styleId="Ttulo1">
    <w:name w:val="heading 1"/>
    <w:basedOn w:val="Normal"/>
    <w:next w:val="Normal"/>
    <w:link w:val="Ttulo1Char"/>
    <w:uiPriority w:val="9"/>
    <w:qFormat/>
    <w:rsid w:val="00C062ED"/>
    <w:pPr>
      <w:keepNext/>
      <w:keepLines/>
      <w:numPr>
        <w:numId w:val="9"/>
      </w:numPr>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447432"/>
    <w:pPr>
      <w:keepNext/>
      <w:keepLines/>
      <w:numPr>
        <w:ilvl w:val="1"/>
        <w:numId w:val="9"/>
      </w:numPr>
      <w:tabs>
        <w:tab w:val="left" w:pos="426"/>
      </w:tabs>
      <w:ind w:left="284" w:hanging="284"/>
      <w:outlineLvl w:val="1"/>
    </w:pPr>
    <w:rPr>
      <w:rFonts w:eastAsiaTheme="majorEastAsia" w:cstheme="majorBidi"/>
      <w:szCs w:val="26"/>
    </w:rPr>
  </w:style>
  <w:style w:type="paragraph" w:styleId="Ttulo3">
    <w:name w:val="heading 3"/>
    <w:basedOn w:val="Normal"/>
    <w:next w:val="Normal"/>
    <w:link w:val="Ttulo3Char"/>
    <w:uiPriority w:val="9"/>
    <w:unhideWhenUsed/>
    <w:qFormat/>
    <w:rsid w:val="00560A3F"/>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E4411A"/>
    <w:pPr>
      <w:ind w:left="720"/>
      <w:contextualSpacing/>
    </w:pPr>
  </w:style>
  <w:style w:type="character" w:customStyle="1" w:styleId="Ttulo1Char">
    <w:name w:val="Título 1 Char"/>
    <w:basedOn w:val="Fontepargpadro"/>
    <w:link w:val="Ttulo1"/>
    <w:uiPriority w:val="9"/>
    <w:rsid w:val="00C062ED"/>
    <w:rPr>
      <w:rFonts w:ascii="Times New Roman" w:eastAsiaTheme="majorEastAsia" w:hAnsi="Times New Roman" w:cstheme="majorBidi"/>
      <w:b/>
      <w:caps/>
      <w:sz w:val="24"/>
      <w:szCs w:val="32"/>
    </w:rPr>
  </w:style>
  <w:style w:type="character" w:customStyle="1" w:styleId="Ttulo2Char">
    <w:name w:val="Título 2 Char"/>
    <w:basedOn w:val="Fontepargpadro"/>
    <w:link w:val="Ttulo2"/>
    <w:uiPriority w:val="9"/>
    <w:rsid w:val="00447432"/>
    <w:rPr>
      <w:rFonts w:ascii="Times New Roman" w:eastAsiaTheme="majorEastAsia" w:hAnsi="Times New Roman" w:cstheme="majorBidi"/>
      <w:sz w:val="24"/>
      <w:szCs w:val="26"/>
    </w:rPr>
  </w:style>
  <w:style w:type="character" w:customStyle="1" w:styleId="Ttulo3Char">
    <w:name w:val="Título 3 Char"/>
    <w:basedOn w:val="Fontepargpadro"/>
    <w:link w:val="Ttulo3"/>
    <w:uiPriority w:val="9"/>
    <w:rsid w:val="00560A3F"/>
    <w:rPr>
      <w:rFonts w:asciiTheme="majorHAnsi" w:eastAsiaTheme="majorEastAsia" w:hAnsiTheme="majorHAnsi" w:cstheme="majorBidi"/>
      <w:color w:val="1F3763" w:themeColor="accent1" w:themeShade="7F"/>
      <w:sz w:val="24"/>
      <w:szCs w:val="24"/>
    </w:rPr>
  </w:style>
  <w:style w:type="paragraph" w:styleId="CabealhodoSumrio">
    <w:name w:val="TOC Heading"/>
    <w:basedOn w:val="Ttulo1"/>
    <w:next w:val="Normal"/>
    <w:uiPriority w:val="39"/>
    <w:unhideWhenUsed/>
    <w:qFormat/>
    <w:rsid w:val="006904A8"/>
    <w:pPr>
      <w:outlineLvl w:val="9"/>
    </w:pPr>
    <w:rPr>
      <w:lang w:eastAsia="pt-BR"/>
    </w:rPr>
  </w:style>
  <w:style w:type="paragraph" w:styleId="Sumrio1">
    <w:name w:val="toc 1"/>
    <w:basedOn w:val="Normal"/>
    <w:next w:val="Normal"/>
    <w:autoRedefine/>
    <w:uiPriority w:val="39"/>
    <w:unhideWhenUsed/>
    <w:rsid w:val="006904A8"/>
    <w:pPr>
      <w:spacing w:after="100"/>
    </w:pPr>
  </w:style>
  <w:style w:type="paragraph" w:styleId="Sumrio2">
    <w:name w:val="toc 2"/>
    <w:basedOn w:val="Normal"/>
    <w:next w:val="Normal"/>
    <w:autoRedefine/>
    <w:uiPriority w:val="39"/>
    <w:unhideWhenUsed/>
    <w:rsid w:val="003628DD"/>
    <w:pPr>
      <w:tabs>
        <w:tab w:val="left" w:pos="426"/>
        <w:tab w:val="right" w:leader="dot" w:pos="8494"/>
      </w:tabs>
      <w:spacing w:after="100"/>
    </w:pPr>
  </w:style>
  <w:style w:type="paragraph" w:styleId="Sumrio3">
    <w:name w:val="toc 3"/>
    <w:basedOn w:val="Normal"/>
    <w:next w:val="Normal"/>
    <w:autoRedefine/>
    <w:uiPriority w:val="39"/>
    <w:unhideWhenUsed/>
    <w:rsid w:val="006904A8"/>
    <w:pPr>
      <w:spacing w:after="100"/>
      <w:ind w:left="440"/>
    </w:pPr>
  </w:style>
  <w:style w:type="character" w:styleId="Hyperlink">
    <w:name w:val="Hyperlink"/>
    <w:basedOn w:val="Fontepargpadro"/>
    <w:uiPriority w:val="99"/>
    <w:unhideWhenUsed/>
    <w:rsid w:val="006904A8"/>
    <w:rPr>
      <w:color w:val="0563C1" w:themeColor="hyperlink"/>
      <w:u w:val="single"/>
    </w:rPr>
  </w:style>
  <w:style w:type="paragraph" w:styleId="Cabealho">
    <w:name w:val="header"/>
    <w:basedOn w:val="Normal"/>
    <w:link w:val="CabealhoChar"/>
    <w:uiPriority w:val="99"/>
    <w:unhideWhenUsed/>
    <w:rsid w:val="00A00FD4"/>
    <w:pPr>
      <w:tabs>
        <w:tab w:val="center" w:pos="4252"/>
        <w:tab w:val="right" w:pos="8504"/>
      </w:tabs>
      <w:spacing w:line="240" w:lineRule="auto"/>
    </w:pPr>
  </w:style>
  <w:style w:type="character" w:customStyle="1" w:styleId="CabealhoChar">
    <w:name w:val="Cabeçalho Char"/>
    <w:basedOn w:val="Fontepargpadro"/>
    <w:link w:val="Cabealho"/>
    <w:uiPriority w:val="99"/>
    <w:rsid w:val="00A00FD4"/>
  </w:style>
  <w:style w:type="paragraph" w:styleId="Rodap">
    <w:name w:val="footer"/>
    <w:basedOn w:val="Normal"/>
    <w:link w:val="RodapChar"/>
    <w:uiPriority w:val="99"/>
    <w:unhideWhenUsed/>
    <w:rsid w:val="00A00FD4"/>
    <w:pPr>
      <w:tabs>
        <w:tab w:val="center" w:pos="4252"/>
        <w:tab w:val="right" w:pos="8504"/>
      </w:tabs>
      <w:spacing w:line="240" w:lineRule="auto"/>
    </w:pPr>
  </w:style>
  <w:style w:type="character" w:customStyle="1" w:styleId="RodapChar">
    <w:name w:val="Rodapé Char"/>
    <w:basedOn w:val="Fontepargpadro"/>
    <w:link w:val="Rodap"/>
    <w:uiPriority w:val="99"/>
    <w:rsid w:val="00A00FD4"/>
  </w:style>
  <w:style w:type="paragraph" w:styleId="SemEspaamento">
    <w:name w:val="No Spacing"/>
    <w:uiPriority w:val="1"/>
    <w:qFormat/>
    <w:rsid w:val="004B21D2"/>
    <w:pPr>
      <w:spacing w:after="0" w:line="360" w:lineRule="auto"/>
    </w:pPr>
    <w:rPr>
      <w:rFonts w:ascii="Times New Roman" w:hAnsi="Times New Roman"/>
      <w:sz w:val="24"/>
    </w:rPr>
  </w:style>
  <w:style w:type="table" w:styleId="Tabelacomgrade">
    <w:name w:val="Table Grid"/>
    <w:basedOn w:val="Tabelanormal"/>
    <w:uiPriority w:val="39"/>
    <w:rsid w:val="00982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2D755D"/>
    <w:pPr>
      <w:spacing w:line="240" w:lineRule="auto"/>
    </w:pPr>
    <w:rPr>
      <w:rFonts w:cs="Times New Roman"/>
      <w:sz w:val="18"/>
      <w:szCs w:val="18"/>
    </w:rPr>
  </w:style>
  <w:style w:type="character" w:customStyle="1" w:styleId="TextodebaloChar">
    <w:name w:val="Texto de balão Char"/>
    <w:basedOn w:val="Fontepargpadro"/>
    <w:link w:val="Textodebalo"/>
    <w:uiPriority w:val="99"/>
    <w:semiHidden/>
    <w:rsid w:val="002D755D"/>
    <w:rPr>
      <w:rFonts w:ascii="Times New Roman" w:hAnsi="Times New Roman" w:cs="Times New Roman"/>
      <w:sz w:val="18"/>
      <w:szCs w:val="18"/>
    </w:rPr>
  </w:style>
  <w:style w:type="paragraph" w:styleId="Bibliografia">
    <w:name w:val="Bibliography"/>
    <w:basedOn w:val="Normal"/>
    <w:next w:val="Normal"/>
    <w:uiPriority w:val="37"/>
    <w:unhideWhenUsed/>
    <w:rsid w:val="003A31B3"/>
  </w:style>
  <w:style w:type="character" w:styleId="MenoPendente">
    <w:name w:val="Unresolved Mention"/>
    <w:basedOn w:val="Fontepargpadro"/>
    <w:uiPriority w:val="99"/>
    <w:semiHidden/>
    <w:unhideWhenUsed/>
    <w:rsid w:val="00304675"/>
    <w:rPr>
      <w:color w:val="605E5C"/>
      <w:shd w:val="clear" w:color="auto" w:fill="E1DFDD"/>
    </w:rPr>
  </w:style>
  <w:style w:type="paragraph" w:styleId="Textodenotadefim">
    <w:name w:val="endnote text"/>
    <w:basedOn w:val="Normal"/>
    <w:link w:val="TextodenotadefimChar"/>
    <w:uiPriority w:val="99"/>
    <w:semiHidden/>
    <w:unhideWhenUsed/>
    <w:rsid w:val="00DC0339"/>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DC0339"/>
    <w:rPr>
      <w:rFonts w:ascii="Times New Roman" w:hAnsi="Times New Roman"/>
      <w:sz w:val="20"/>
      <w:szCs w:val="20"/>
    </w:rPr>
  </w:style>
  <w:style w:type="character" w:styleId="Refdenotadefim">
    <w:name w:val="endnote reference"/>
    <w:basedOn w:val="Fontepargpadro"/>
    <w:uiPriority w:val="99"/>
    <w:semiHidden/>
    <w:unhideWhenUsed/>
    <w:rsid w:val="00DC0339"/>
    <w:rPr>
      <w:vertAlign w:val="superscript"/>
    </w:rPr>
  </w:style>
  <w:style w:type="paragraph" w:styleId="Legenda">
    <w:name w:val="caption"/>
    <w:basedOn w:val="Normal"/>
    <w:next w:val="Normal"/>
    <w:uiPriority w:val="35"/>
    <w:unhideWhenUsed/>
    <w:qFormat/>
    <w:rsid w:val="00DC0339"/>
    <w:pPr>
      <w:spacing w:after="200" w:line="240" w:lineRule="auto"/>
    </w:pPr>
    <w:rPr>
      <w:i/>
      <w:iCs/>
      <w:color w:val="44546A" w:themeColor="text2"/>
      <w:sz w:val="18"/>
      <w:szCs w:val="18"/>
    </w:rPr>
  </w:style>
  <w:style w:type="character" w:styleId="TextodoEspaoReservado">
    <w:name w:val="Placeholder Text"/>
    <w:basedOn w:val="Fontepargpadro"/>
    <w:uiPriority w:val="99"/>
    <w:semiHidden/>
    <w:rsid w:val="00B81A5D"/>
    <w:rPr>
      <w:color w:val="666666"/>
    </w:rPr>
  </w:style>
  <w:style w:type="paragraph" w:styleId="NormalWeb">
    <w:name w:val="Normal (Web)"/>
    <w:basedOn w:val="Normal"/>
    <w:uiPriority w:val="99"/>
    <w:semiHidden/>
    <w:unhideWhenUsed/>
    <w:rsid w:val="00CE6A6B"/>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84526">
      <w:bodyDiv w:val="1"/>
      <w:marLeft w:val="0"/>
      <w:marRight w:val="0"/>
      <w:marTop w:val="0"/>
      <w:marBottom w:val="0"/>
      <w:divBdr>
        <w:top w:val="none" w:sz="0" w:space="0" w:color="auto"/>
        <w:left w:val="none" w:sz="0" w:space="0" w:color="auto"/>
        <w:bottom w:val="none" w:sz="0" w:space="0" w:color="auto"/>
        <w:right w:val="none" w:sz="0" w:space="0" w:color="auto"/>
      </w:divBdr>
    </w:div>
    <w:div w:id="123427528">
      <w:bodyDiv w:val="1"/>
      <w:marLeft w:val="0"/>
      <w:marRight w:val="0"/>
      <w:marTop w:val="0"/>
      <w:marBottom w:val="0"/>
      <w:divBdr>
        <w:top w:val="none" w:sz="0" w:space="0" w:color="auto"/>
        <w:left w:val="none" w:sz="0" w:space="0" w:color="auto"/>
        <w:bottom w:val="none" w:sz="0" w:space="0" w:color="auto"/>
        <w:right w:val="none" w:sz="0" w:space="0" w:color="auto"/>
      </w:divBdr>
    </w:div>
    <w:div w:id="155658790">
      <w:bodyDiv w:val="1"/>
      <w:marLeft w:val="0"/>
      <w:marRight w:val="0"/>
      <w:marTop w:val="0"/>
      <w:marBottom w:val="0"/>
      <w:divBdr>
        <w:top w:val="none" w:sz="0" w:space="0" w:color="auto"/>
        <w:left w:val="none" w:sz="0" w:space="0" w:color="auto"/>
        <w:bottom w:val="none" w:sz="0" w:space="0" w:color="auto"/>
        <w:right w:val="none" w:sz="0" w:space="0" w:color="auto"/>
      </w:divBdr>
    </w:div>
    <w:div w:id="234977739">
      <w:bodyDiv w:val="1"/>
      <w:marLeft w:val="0"/>
      <w:marRight w:val="0"/>
      <w:marTop w:val="0"/>
      <w:marBottom w:val="0"/>
      <w:divBdr>
        <w:top w:val="none" w:sz="0" w:space="0" w:color="auto"/>
        <w:left w:val="none" w:sz="0" w:space="0" w:color="auto"/>
        <w:bottom w:val="none" w:sz="0" w:space="0" w:color="auto"/>
        <w:right w:val="none" w:sz="0" w:space="0" w:color="auto"/>
      </w:divBdr>
    </w:div>
    <w:div w:id="284502408">
      <w:bodyDiv w:val="1"/>
      <w:marLeft w:val="0"/>
      <w:marRight w:val="0"/>
      <w:marTop w:val="0"/>
      <w:marBottom w:val="0"/>
      <w:divBdr>
        <w:top w:val="none" w:sz="0" w:space="0" w:color="auto"/>
        <w:left w:val="none" w:sz="0" w:space="0" w:color="auto"/>
        <w:bottom w:val="none" w:sz="0" w:space="0" w:color="auto"/>
        <w:right w:val="none" w:sz="0" w:space="0" w:color="auto"/>
      </w:divBdr>
    </w:div>
    <w:div w:id="386269672">
      <w:bodyDiv w:val="1"/>
      <w:marLeft w:val="0"/>
      <w:marRight w:val="0"/>
      <w:marTop w:val="0"/>
      <w:marBottom w:val="0"/>
      <w:divBdr>
        <w:top w:val="none" w:sz="0" w:space="0" w:color="auto"/>
        <w:left w:val="none" w:sz="0" w:space="0" w:color="auto"/>
        <w:bottom w:val="none" w:sz="0" w:space="0" w:color="auto"/>
        <w:right w:val="none" w:sz="0" w:space="0" w:color="auto"/>
      </w:divBdr>
    </w:div>
    <w:div w:id="435059498">
      <w:bodyDiv w:val="1"/>
      <w:marLeft w:val="0"/>
      <w:marRight w:val="0"/>
      <w:marTop w:val="0"/>
      <w:marBottom w:val="0"/>
      <w:divBdr>
        <w:top w:val="none" w:sz="0" w:space="0" w:color="auto"/>
        <w:left w:val="none" w:sz="0" w:space="0" w:color="auto"/>
        <w:bottom w:val="none" w:sz="0" w:space="0" w:color="auto"/>
        <w:right w:val="none" w:sz="0" w:space="0" w:color="auto"/>
      </w:divBdr>
    </w:div>
    <w:div w:id="497117404">
      <w:bodyDiv w:val="1"/>
      <w:marLeft w:val="0"/>
      <w:marRight w:val="0"/>
      <w:marTop w:val="0"/>
      <w:marBottom w:val="0"/>
      <w:divBdr>
        <w:top w:val="none" w:sz="0" w:space="0" w:color="auto"/>
        <w:left w:val="none" w:sz="0" w:space="0" w:color="auto"/>
        <w:bottom w:val="none" w:sz="0" w:space="0" w:color="auto"/>
        <w:right w:val="none" w:sz="0" w:space="0" w:color="auto"/>
      </w:divBdr>
    </w:div>
    <w:div w:id="504368952">
      <w:bodyDiv w:val="1"/>
      <w:marLeft w:val="0"/>
      <w:marRight w:val="0"/>
      <w:marTop w:val="0"/>
      <w:marBottom w:val="0"/>
      <w:divBdr>
        <w:top w:val="none" w:sz="0" w:space="0" w:color="auto"/>
        <w:left w:val="none" w:sz="0" w:space="0" w:color="auto"/>
        <w:bottom w:val="none" w:sz="0" w:space="0" w:color="auto"/>
        <w:right w:val="none" w:sz="0" w:space="0" w:color="auto"/>
      </w:divBdr>
    </w:div>
    <w:div w:id="549536266">
      <w:bodyDiv w:val="1"/>
      <w:marLeft w:val="0"/>
      <w:marRight w:val="0"/>
      <w:marTop w:val="0"/>
      <w:marBottom w:val="0"/>
      <w:divBdr>
        <w:top w:val="none" w:sz="0" w:space="0" w:color="auto"/>
        <w:left w:val="none" w:sz="0" w:space="0" w:color="auto"/>
        <w:bottom w:val="none" w:sz="0" w:space="0" w:color="auto"/>
        <w:right w:val="none" w:sz="0" w:space="0" w:color="auto"/>
      </w:divBdr>
    </w:div>
    <w:div w:id="626358377">
      <w:bodyDiv w:val="1"/>
      <w:marLeft w:val="0"/>
      <w:marRight w:val="0"/>
      <w:marTop w:val="0"/>
      <w:marBottom w:val="0"/>
      <w:divBdr>
        <w:top w:val="none" w:sz="0" w:space="0" w:color="auto"/>
        <w:left w:val="none" w:sz="0" w:space="0" w:color="auto"/>
        <w:bottom w:val="none" w:sz="0" w:space="0" w:color="auto"/>
        <w:right w:val="none" w:sz="0" w:space="0" w:color="auto"/>
      </w:divBdr>
    </w:div>
    <w:div w:id="777916341">
      <w:bodyDiv w:val="1"/>
      <w:marLeft w:val="0"/>
      <w:marRight w:val="0"/>
      <w:marTop w:val="0"/>
      <w:marBottom w:val="0"/>
      <w:divBdr>
        <w:top w:val="none" w:sz="0" w:space="0" w:color="auto"/>
        <w:left w:val="none" w:sz="0" w:space="0" w:color="auto"/>
        <w:bottom w:val="none" w:sz="0" w:space="0" w:color="auto"/>
        <w:right w:val="none" w:sz="0" w:space="0" w:color="auto"/>
      </w:divBdr>
    </w:div>
    <w:div w:id="825823117">
      <w:bodyDiv w:val="1"/>
      <w:marLeft w:val="0"/>
      <w:marRight w:val="0"/>
      <w:marTop w:val="0"/>
      <w:marBottom w:val="0"/>
      <w:divBdr>
        <w:top w:val="none" w:sz="0" w:space="0" w:color="auto"/>
        <w:left w:val="none" w:sz="0" w:space="0" w:color="auto"/>
        <w:bottom w:val="none" w:sz="0" w:space="0" w:color="auto"/>
        <w:right w:val="none" w:sz="0" w:space="0" w:color="auto"/>
      </w:divBdr>
    </w:div>
    <w:div w:id="1045522023">
      <w:bodyDiv w:val="1"/>
      <w:marLeft w:val="0"/>
      <w:marRight w:val="0"/>
      <w:marTop w:val="0"/>
      <w:marBottom w:val="0"/>
      <w:divBdr>
        <w:top w:val="none" w:sz="0" w:space="0" w:color="auto"/>
        <w:left w:val="none" w:sz="0" w:space="0" w:color="auto"/>
        <w:bottom w:val="none" w:sz="0" w:space="0" w:color="auto"/>
        <w:right w:val="none" w:sz="0" w:space="0" w:color="auto"/>
      </w:divBdr>
    </w:div>
    <w:div w:id="1057239415">
      <w:bodyDiv w:val="1"/>
      <w:marLeft w:val="0"/>
      <w:marRight w:val="0"/>
      <w:marTop w:val="0"/>
      <w:marBottom w:val="0"/>
      <w:divBdr>
        <w:top w:val="none" w:sz="0" w:space="0" w:color="auto"/>
        <w:left w:val="none" w:sz="0" w:space="0" w:color="auto"/>
        <w:bottom w:val="none" w:sz="0" w:space="0" w:color="auto"/>
        <w:right w:val="none" w:sz="0" w:space="0" w:color="auto"/>
      </w:divBdr>
    </w:div>
    <w:div w:id="1170757622">
      <w:bodyDiv w:val="1"/>
      <w:marLeft w:val="0"/>
      <w:marRight w:val="0"/>
      <w:marTop w:val="0"/>
      <w:marBottom w:val="0"/>
      <w:divBdr>
        <w:top w:val="none" w:sz="0" w:space="0" w:color="auto"/>
        <w:left w:val="none" w:sz="0" w:space="0" w:color="auto"/>
        <w:bottom w:val="none" w:sz="0" w:space="0" w:color="auto"/>
        <w:right w:val="none" w:sz="0" w:space="0" w:color="auto"/>
      </w:divBdr>
    </w:div>
    <w:div w:id="1172648309">
      <w:bodyDiv w:val="1"/>
      <w:marLeft w:val="0"/>
      <w:marRight w:val="0"/>
      <w:marTop w:val="0"/>
      <w:marBottom w:val="0"/>
      <w:divBdr>
        <w:top w:val="none" w:sz="0" w:space="0" w:color="auto"/>
        <w:left w:val="none" w:sz="0" w:space="0" w:color="auto"/>
        <w:bottom w:val="none" w:sz="0" w:space="0" w:color="auto"/>
        <w:right w:val="none" w:sz="0" w:space="0" w:color="auto"/>
      </w:divBdr>
      <w:divsChild>
        <w:div w:id="226765248">
          <w:marLeft w:val="0"/>
          <w:marRight w:val="0"/>
          <w:marTop w:val="0"/>
          <w:marBottom w:val="0"/>
          <w:divBdr>
            <w:top w:val="none" w:sz="0" w:space="0" w:color="auto"/>
            <w:left w:val="none" w:sz="0" w:space="0" w:color="auto"/>
            <w:bottom w:val="none" w:sz="0" w:space="0" w:color="auto"/>
            <w:right w:val="none" w:sz="0" w:space="0" w:color="auto"/>
          </w:divBdr>
          <w:divsChild>
            <w:div w:id="981229808">
              <w:marLeft w:val="0"/>
              <w:marRight w:val="0"/>
              <w:marTop w:val="0"/>
              <w:marBottom w:val="0"/>
              <w:divBdr>
                <w:top w:val="none" w:sz="0" w:space="0" w:color="auto"/>
                <w:left w:val="none" w:sz="0" w:space="0" w:color="auto"/>
                <w:bottom w:val="none" w:sz="0" w:space="0" w:color="auto"/>
                <w:right w:val="none" w:sz="0" w:space="0" w:color="auto"/>
              </w:divBdr>
              <w:divsChild>
                <w:div w:id="196356037">
                  <w:marLeft w:val="0"/>
                  <w:marRight w:val="0"/>
                  <w:marTop w:val="0"/>
                  <w:marBottom w:val="0"/>
                  <w:divBdr>
                    <w:top w:val="none" w:sz="0" w:space="0" w:color="auto"/>
                    <w:left w:val="none" w:sz="0" w:space="0" w:color="auto"/>
                    <w:bottom w:val="none" w:sz="0" w:space="0" w:color="auto"/>
                    <w:right w:val="none" w:sz="0" w:space="0" w:color="auto"/>
                  </w:divBdr>
                  <w:divsChild>
                    <w:div w:id="1655572775">
                      <w:marLeft w:val="0"/>
                      <w:marRight w:val="0"/>
                      <w:marTop w:val="0"/>
                      <w:marBottom w:val="0"/>
                      <w:divBdr>
                        <w:top w:val="none" w:sz="0" w:space="0" w:color="auto"/>
                        <w:left w:val="none" w:sz="0" w:space="0" w:color="auto"/>
                        <w:bottom w:val="none" w:sz="0" w:space="0" w:color="auto"/>
                        <w:right w:val="none" w:sz="0" w:space="0" w:color="auto"/>
                      </w:divBdr>
                    </w:div>
                    <w:div w:id="41374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22683">
              <w:marLeft w:val="0"/>
              <w:marRight w:val="0"/>
              <w:marTop w:val="0"/>
              <w:marBottom w:val="0"/>
              <w:divBdr>
                <w:top w:val="none" w:sz="0" w:space="0" w:color="auto"/>
                <w:left w:val="none" w:sz="0" w:space="0" w:color="auto"/>
                <w:bottom w:val="none" w:sz="0" w:space="0" w:color="auto"/>
                <w:right w:val="none" w:sz="0" w:space="0" w:color="auto"/>
              </w:divBdr>
              <w:divsChild>
                <w:div w:id="1853571266">
                  <w:marLeft w:val="0"/>
                  <w:marRight w:val="0"/>
                  <w:marTop w:val="0"/>
                  <w:marBottom w:val="0"/>
                  <w:divBdr>
                    <w:top w:val="none" w:sz="0" w:space="0" w:color="auto"/>
                    <w:left w:val="none" w:sz="0" w:space="0" w:color="auto"/>
                    <w:bottom w:val="none" w:sz="0" w:space="0" w:color="auto"/>
                    <w:right w:val="none" w:sz="0" w:space="0" w:color="auto"/>
                  </w:divBdr>
                  <w:divsChild>
                    <w:div w:id="1480270853">
                      <w:marLeft w:val="0"/>
                      <w:marRight w:val="0"/>
                      <w:marTop w:val="0"/>
                      <w:marBottom w:val="0"/>
                      <w:divBdr>
                        <w:top w:val="none" w:sz="0" w:space="0" w:color="auto"/>
                        <w:left w:val="none" w:sz="0" w:space="0" w:color="auto"/>
                        <w:bottom w:val="none" w:sz="0" w:space="0" w:color="auto"/>
                        <w:right w:val="none" w:sz="0" w:space="0" w:color="auto"/>
                      </w:divBdr>
                      <w:divsChild>
                        <w:div w:id="154521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819449">
          <w:marLeft w:val="0"/>
          <w:marRight w:val="0"/>
          <w:marTop w:val="0"/>
          <w:marBottom w:val="0"/>
          <w:divBdr>
            <w:top w:val="none" w:sz="0" w:space="0" w:color="auto"/>
            <w:left w:val="none" w:sz="0" w:space="0" w:color="auto"/>
            <w:bottom w:val="none" w:sz="0" w:space="0" w:color="auto"/>
            <w:right w:val="none" w:sz="0" w:space="0" w:color="auto"/>
          </w:divBdr>
          <w:divsChild>
            <w:div w:id="129270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673029">
      <w:bodyDiv w:val="1"/>
      <w:marLeft w:val="0"/>
      <w:marRight w:val="0"/>
      <w:marTop w:val="0"/>
      <w:marBottom w:val="0"/>
      <w:divBdr>
        <w:top w:val="none" w:sz="0" w:space="0" w:color="auto"/>
        <w:left w:val="none" w:sz="0" w:space="0" w:color="auto"/>
        <w:bottom w:val="none" w:sz="0" w:space="0" w:color="auto"/>
        <w:right w:val="none" w:sz="0" w:space="0" w:color="auto"/>
      </w:divBdr>
    </w:div>
    <w:div w:id="1243761826">
      <w:bodyDiv w:val="1"/>
      <w:marLeft w:val="0"/>
      <w:marRight w:val="0"/>
      <w:marTop w:val="0"/>
      <w:marBottom w:val="0"/>
      <w:divBdr>
        <w:top w:val="none" w:sz="0" w:space="0" w:color="auto"/>
        <w:left w:val="none" w:sz="0" w:space="0" w:color="auto"/>
        <w:bottom w:val="none" w:sz="0" w:space="0" w:color="auto"/>
        <w:right w:val="none" w:sz="0" w:space="0" w:color="auto"/>
      </w:divBdr>
    </w:div>
    <w:div w:id="1263606023">
      <w:bodyDiv w:val="1"/>
      <w:marLeft w:val="0"/>
      <w:marRight w:val="0"/>
      <w:marTop w:val="0"/>
      <w:marBottom w:val="0"/>
      <w:divBdr>
        <w:top w:val="none" w:sz="0" w:space="0" w:color="auto"/>
        <w:left w:val="none" w:sz="0" w:space="0" w:color="auto"/>
        <w:bottom w:val="none" w:sz="0" w:space="0" w:color="auto"/>
        <w:right w:val="none" w:sz="0" w:space="0" w:color="auto"/>
      </w:divBdr>
    </w:div>
    <w:div w:id="1339625065">
      <w:bodyDiv w:val="1"/>
      <w:marLeft w:val="0"/>
      <w:marRight w:val="0"/>
      <w:marTop w:val="0"/>
      <w:marBottom w:val="0"/>
      <w:divBdr>
        <w:top w:val="none" w:sz="0" w:space="0" w:color="auto"/>
        <w:left w:val="none" w:sz="0" w:space="0" w:color="auto"/>
        <w:bottom w:val="none" w:sz="0" w:space="0" w:color="auto"/>
        <w:right w:val="none" w:sz="0" w:space="0" w:color="auto"/>
      </w:divBdr>
    </w:div>
    <w:div w:id="1343360476">
      <w:bodyDiv w:val="1"/>
      <w:marLeft w:val="0"/>
      <w:marRight w:val="0"/>
      <w:marTop w:val="0"/>
      <w:marBottom w:val="0"/>
      <w:divBdr>
        <w:top w:val="none" w:sz="0" w:space="0" w:color="auto"/>
        <w:left w:val="none" w:sz="0" w:space="0" w:color="auto"/>
        <w:bottom w:val="none" w:sz="0" w:space="0" w:color="auto"/>
        <w:right w:val="none" w:sz="0" w:space="0" w:color="auto"/>
      </w:divBdr>
    </w:div>
    <w:div w:id="1348483734">
      <w:bodyDiv w:val="1"/>
      <w:marLeft w:val="0"/>
      <w:marRight w:val="0"/>
      <w:marTop w:val="0"/>
      <w:marBottom w:val="0"/>
      <w:divBdr>
        <w:top w:val="none" w:sz="0" w:space="0" w:color="auto"/>
        <w:left w:val="none" w:sz="0" w:space="0" w:color="auto"/>
        <w:bottom w:val="none" w:sz="0" w:space="0" w:color="auto"/>
        <w:right w:val="none" w:sz="0" w:space="0" w:color="auto"/>
      </w:divBdr>
    </w:div>
    <w:div w:id="1366832869">
      <w:bodyDiv w:val="1"/>
      <w:marLeft w:val="0"/>
      <w:marRight w:val="0"/>
      <w:marTop w:val="0"/>
      <w:marBottom w:val="0"/>
      <w:divBdr>
        <w:top w:val="none" w:sz="0" w:space="0" w:color="auto"/>
        <w:left w:val="none" w:sz="0" w:space="0" w:color="auto"/>
        <w:bottom w:val="none" w:sz="0" w:space="0" w:color="auto"/>
        <w:right w:val="none" w:sz="0" w:space="0" w:color="auto"/>
      </w:divBdr>
    </w:div>
    <w:div w:id="1402175313">
      <w:bodyDiv w:val="1"/>
      <w:marLeft w:val="0"/>
      <w:marRight w:val="0"/>
      <w:marTop w:val="0"/>
      <w:marBottom w:val="0"/>
      <w:divBdr>
        <w:top w:val="none" w:sz="0" w:space="0" w:color="auto"/>
        <w:left w:val="none" w:sz="0" w:space="0" w:color="auto"/>
        <w:bottom w:val="none" w:sz="0" w:space="0" w:color="auto"/>
        <w:right w:val="none" w:sz="0" w:space="0" w:color="auto"/>
      </w:divBdr>
    </w:div>
    <w:div w:id="1438253215">
      <w:bodyDiv w:val="1"/>
      <w:marLeft w:val="0"/>
      <w:marRight w:val="0"/>
      <w:marTop w:val="0"/>
      <w:marBottom w:val="0"/>
      <w:divBdr>
        <w:top w:val="none" w:sz="0" w:space="0" w:color="auto"/>
        <w:left w:val="none" w:sz="0" w:space="0" w:color="auto"/>
        <w:bottom w:val="none" w:sz="0" w:space="0" w:color="auto"/>
        <w:right w:val="none" w:sz="0" w:space="0" w:color="auto"/>
      </w:divBdr>
    </w:div>
    <w:div w:id="1500003721">
      <w:bodyDiv w:val="1"/>
      <w:marLeft w:val="0"/>
      <w:marRight w:val="0"/>
      <w:marTop w:val="0"/>
      <w:marBottom w:val="0"/>
      <w:divBdr>
        <w:top w:val="none" w:sz="0" w:space="0" w:color="auto"/>
        <w:left w:val="none" w:sz="0" w:space="0" w:color="auto"/>
        <w:bottom w:val="none" w:sz="0" w:space="0" w:color="auto"/>
        <w:right w:val="none" w:sz="0" w:space="0" w:color="auto"/>
      </w:divBdr>
    </w:div>
    <w:div w:id="1519542317">
      <w:bodyDiv w:val="1"/>
      <w:marLeft w:val="0"/>
      <w:marRight w:val="0"/>
      <w:marTop w:val="0"/>
      <w:marBottom w:val="0"/>
      <w:divBdr>
        <w:top w:val="none" w:sz="0" w:space="0" w:color="auto"/>
        <w:left w:val="none" w:sz="0" w:space="0" w:color="auto"/>
        <w:bottom w:val="none" w:sz="0" w:space="0" w:color="auto"/>
        <w:right w:val="none" w:sz="0" w:space="0" w:color="auto"/>
      </w:divBdr>
    </w:div>
    <w:div w:id="1558055619">
      <w:bodyDiv w:val="1"/>
      <w:marLeft w:val="0"/>
      <w:marRight w:val="0"/>
      <w:marTop w:val="0"/>
      <w:marBottom w:val="0"/>
      <w:divBdr>
        <w:top w:val="none" w:sz="0" w:space="0" w:color="auto"/>
        <w:left w:val="none" w:sz="0" w:space="0" w:color="auto"/>
        <w:bottom w:val="none" w:sz="0" w:space="0" w:color="auto"/>
        <w:right w:val="none" w:sz="0" w:space="0" w:color="auto"/>
      </w:divBdr>
    </w:div>
    <w:div w:id="1604848599">
      <w:bodyDiv w:val="1"/>
      <w:marLeft w:val="0"/>
      <w:marRight w:val="0"/>
      <w:marTop w:val="0"/>
      <w:marBottom w:val="0"/>
      <w:divBdr>
        <w:top w:val="none" w:sz="0" w:space="0" w:color="auto"/>
        <w:left w:val="none" w:sz="0" w:space="0" w:color="auto"/>
        <w:bottom w:val="none" w:sz="0" w:space="0" w:color="auto"/>
        <w:right w:val="none" w:sz="0" w:space="0" w:color="auto"/>
      </w:divBdr>
    </w:div>
    <w:div w:id="1649892780">
      <w:bodyDiv w:val="1"/>
      <w:marLeft w:val="0"/>
      <w:marRight w:val="0"/>
      <w:marTop w:val="0"/>
      <w:marBottom w:val="0"/>
      <w:divBdr>
        <w:top w:val="none" w:sz="0" w:space="0" w:color="auto"/>
        <w:left w:val="none" w:sz="0" w:space="0" w:color="auto"/>
        <w:bottom w:val="none" w:sz="0" w:space="0" w:color="auto"/>
        <w:right w:val="none" w:sz="0" w:space="0" w:color="auto"/>
      </w:divBdr>
    </w:div>
    <w:div w:id="1663196622">
      <w:bodyDiv w:val="1"/>
      <w:marLeft w:val="0"/>
      <w:marRight w:val="0"/>
      <w:marTop w:val="0"/>
      <w:marBottom w:val="0"/>
      <w:divBdr>
        <w:top w:val="none" w:sz="0" w:space="0" w:color="auto"/>
        <w:left w:val="none" w:sz="0" w:space="0" w:color="auto"/>
        <w:bottom w:val="none" w:sz="0" w:space="0" w:color="auto"/>
        <w:right w:val="none" w:sz="0" w:space="0" w:color="auto"/>
      </w:divBdr>
    </w:div>
    <w:div w:id="1708136097">
      <w:bodyDiv w:val="1"/>
      <w:marLeft w:val="0"/>
      <w:marRight w:val="0"/>
      <w:marTop w:val="0"/>
      <w:marBottom w:val="0"/>
      <w:divBdr>
        <w:top w:val="none" w:sz="0" w:space="0" w:color="auto"/>
        <w:left w:val="none" w:sz="0" w:space="0" w:color="auto"/>
        <w:bottom w:val="none" w:sz="0" w:space="0" w:color="auto"/>
        <w:right w:val="none" w:sz="0" w:space="0" w:color="auto"/>
      </w:divBdr>
    </w:div>
    <w:div w:id="1710302909">
      <w:bodyDiv w:val="1"/>
      <w:marLeft w:val="0"/>
      <w:marRight w:val="0"/>
      <w:marTop w:val="0"/>
      <w:marBottom w:val="0"/>
      <w:divBdr>
        <w:top w:val="none" w:sz="0" w:space="0" w:color="auto"/>
        <w:left w:val="none" w:sz="0" w:space="0" w:color="auto"/>
        <w:bottom w:val="none" w:sz="0" w:space="0" w:color="auto"/>
        <w:right w:val="none" w:sz="0" w:space="0" w:color="auto"/>
      </w:divBdr>
    </w:div>
    <w:div w:id="1799489683">
      <w:bodyDiv w:val="1"/>
      <w:marLeft w:val="0"/>
      <w:marRight w:val="0"/>
      <w:marTop w:val="0"/>
      <w:marBottom w:val="0"/>
      <w:divBdr>
        <w:top w:val="none" w:sz="0" w:space="0" w:color="auto"/>
        <w:left w:val="none" w:sz="0" w:space="0" w:color="auto"/>
        <w:bottom w:val="none" w:sz="0" w:space="0" w:color="auto"/>
        <w:right w:val="none" w:sz="0" w:space="0" w:color="auto"/>
      </w:divBdr>
    </w:div>
    <w:div w:id="1902476933">
      <w:bodyDiv w:val="1"/>
      <w:marLeft w:val="0"/>
      <w:marRight w:val="0"/>
      <w:marTop w:val="0"/>
      <w:marBottom w:val="0"/>
      <w:divBdr>
        <w:top w:val="none" w:sz="0" w:space="0" w:color="auto"/>
        <w:left w:val="none" w:sz="0" w:space="0" w:color="auto"/>
        <w:bottom w:val="none" w:sz="0" w:space="0" w:color="auto"/>
        <w:right w:val="none" w:sz="0" w:space="0" w:color="auto"/>
      </w:divBdr>
    </w:div>
    <w:div w:id="1982033616">
      <w:bodyDiv w:val="1"/>
      <w:marLeft w:val="0"/>
      <w:marRight w:val="0"/>
      <w:marTop w:val="0"/>
      <w:marBottom w:val="0"/>
      <w:divBdr>
        <w:top w:val="none" w:sz="0" w:space="0" w:color="auto"/>
        <w:left w:val="none" w:sz="0" w:space="0" w:color="auto"/>
        <w:bottom w:val="none" w:sz="0" w:space="0" w:color="auto"/>
        <w:right w:val="none" w:sz="0" w:space="0" w:color="auto"/>
      </w:divBdr>
    </w:div>
    <w:div w:id="2006743571">
      <w:bodyDiv w:val="1"/>
      <w:marLeft w:val="0"/>
      <w:marRight w:val="0"/>
      <w:marTop w:val="0"/>
      <w:marBottom w:val="0"/>
      <w:divBdr>
        <w:top w:val="none" w:sz="0" w:space="0" w:color="auto"/>
        <w:left w:val="none" w:sz="0" w:space="0" w:color="auto"/>
        <w:bottom w:val="none" w:sz="0" w:space="0" w:color="auto"/>
        <w:right w:val="none" w:sz="0" w:space="0" w:color="auto"/>
      </w:divBdr>
    </w:div>
    <w:div w:id="2016418217">
      <w:bodyDiv w:val="1"/>
      <w:marLeft w:val="0"/>
      <w:marRight w:val="0"/>
      <w:marTop w:val="0"/>
      <w:marBottom w:val="0"/>
      <w:divBdr>
        <w:top w:val="none" w:sz="0" w:space="0" w:color="auto"/>
        <w:left w:val="none" w:sz="0" w:space="0" w:color="auto"/>
        <w:bottom w:val="none" w:sz="0" w:space="0" w:color="auto"/>
        <w:right w:val="none" w:sz="0" w:space="0" w:color="auto"/>
      </w:divBdr>
    </w:div>
    <w:div w:id="2042314048">
      <w:bodyDiv w:val="1"/>
      <w:marLeft w:val="0"/>
      <w:marRight w:val="0"/>
      <w:marTop w:val="0"/>
      <w:marBottom w:val="0"/>
      <w:divBdr>
        <w:top w:val="none" w:sz="0" w:space="0" w:color="auto"/>
        <w:left w:val="none" w:sz="0" w:space="0" w:color="auto"/>
        <w:bottom w:val="none" w:sz="0" w:space="0" w:color="auto"/>
        <w:right w:val="none" w:sz="0" w:space="0" w:color="auto"/>
      </w:divBdr>
    </w:div>
    <w:div w:id="2131312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297BC-C22A-9C4A-8697-71074F40B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47</Pages>
  <Words>14668</Words>
  <Characters>79210</Characters>
  <Application>Microsoft Office Word</Application>
  <DocSecurity>0</DocSecurity>
  <Lines>660</Lines>
  <Paragraphs>187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Liedje Siqueira</dc:creator>
  <cp:keywords/>
  <dc:description/>
  <cp:lastModifiedBy>Camppory Figueiredo</cp:lastModifiedBy>
  <cp:revision>4</cp:revision>
  <cp:lastPrinted>2025-09-29T20:11:00Z</cp:lastPrinted>
  <dcterms:created xsi:type="dcterms:W3CDTF">2025-09-29T20:09:00Z</dcterms:created>
  <dcterms:modified xsi:type="dcterms:W3CDTF">2025-09-29T20:23:00Z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zotero-version="7.0.3"&gt;&lt;session id="KrdjHYT3"/&gt;&lt;style id="http://www.zotero.org/styles/universidade-de-sao-paulo-escola-de-comunicacoes-e-artes-abnt" hasBibliography="1" bibliographyStyleHasBeenSet="1"/&gt;&lt;prefs&gt;&lt;pref name="fieldType"</vt:lpwstr>
  </property>
  <property fmtid="{D5CDD505-2E9C-101B-9397-08002B2CF9AE}" pid="3" name="ZOTERO_PREF_2">
    <vt:lpwstr> value="Field"/&gt;&lt;pref name="automaticJournalAbbreviations" value="true"/&gt;&lt;/prefs&gt;&lt;/data&gt;</vt:lpwstr>
  </property>
</Properties>
</file>