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line="36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Data Analysis </w:t>
      </w:r>
      <w:r>
        <w:rPr>
          <w:rFonts w:asciiTheme="minorHAnsi" w:hAnsiTheme="minorHAnsi" w:cstheme="minorHAnsi"/>
          <w:b/>
        </w:rPr>
      </w:r>
    </w:p>
    <w:p>
      <w:pPr>
        <w:spacing w:line="36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Task 2</w:t>
      </w:r>
      <w:r>
        <w:rPr>
          <w:rFonts w:asciiTheme="minorHAnsi" w:hAnsiTheme="minorHAnsi" w:cstheme="minorHAnsi"/>
          <w:b/>
        </w:rPr>
      </w:r>
    </w:p>
    <w:p>
      <w:pPr>
        <w:spacing w:line="360" w:lineRule="auto"/>
      </w:pPr>
      <w:r/>
      <w:r/>
    </w:p>
    <w:p>
      <w:pPr>
        <w:ind w:firstLine="708"/>
        <w:jc w:val="both"/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file </w:t>
      </w:r>
      <w:r>
        <w:rPr>
          <w:rFonts w:asciiTheme="minorHAnsi" w:hAnsiTheme="minorHAnsi" w:cstheme="minorHAnsi"/>
        </w:rPr>
        <w:t xml:space="preserve">World_Development_Indicators</w:t>
      </w:r>
      <w:r>
        <w:rPr>
          <w:rFonts w:asciiTheme="minorHAnsi" w:hAnsiTheme="minorHAnsi" w:cstheme="minorHAnsi"/>
        </w:rPr>
        <w:t xml:space="preserve">.xlsx contains World Bank data on various variables related to export activities by countries for the year </w:t>
      </w:r>
      <w:r>
        <w:rPr>
          <w:rFonts w:asciiTheme="minorHAnsi" w:hAnsiTheme="minorHAnsi" w:cstheme="minorHAnsi"/>
        </w:rPr>
        <w:t xml:space="preserve">2023</w:t>
      </w:r>
      <w:r>
        <w:rPr>
          <w:rFonts w:asciiTheme="minorHAnsi" w:hAnsiTheme="minorHAnsi" w:cstheme="minorHAnsi"/>
        </w:rPr>
        <w:t xml:space="preserve">.</w:t>
      </w:r>
      <w:r>
        <w:rPr>
          <w:rFonts w:asciiTheme="minorHAnsi" w:hAnsiTheme="minorHAnsi" w:cstheme="minorHAnsi"/>
        </w:rPr>
        <w:t xml:space="preserve"> It contains the following variables:</w:t>
      </w:r>
      <w:r>
        <w:rPr>
          <w:rFonts w:asciiTheme="minorHAnsi" w:hAnsiTheme="minorHAnsi" w:cstheme="minorHAnsi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Agricultural raw materials exports (% of merchandise exports)</w:t>
      </w:r>
      <w:r>
        <w:rPr>
          <w:rFonts w:eastAsia="Times New Roman"/>
          <w:color w:val="000000"/>
          <w:sz w:val="24"/>
          <w:szCs w:val="24"/>
          <w:lang w:eastAsia="ru-RU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Commercial service exports (current US$)</w:t>
      </w:r>
      <w:r>
        <w:rPr>
          <w:rFonts w:eastAsia="Times New Roman"/>
          <w:color w:val="000000"/>
          <w:sz w:val="24"/>
          <w:szCs w:val="24"/>
          <w:lang w:eastAsia="ru-RU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Computer, communications and other services (% of commercial service exports)</w:t>
      </w:r>
      <w:r>
        <w:rPr>
          <w:rFonts w:eastAsia="Times New Roman"/>
          <w:color w:val="000000"/>
          <w:sz w:val="24"/>
          <w:szCs w:val="24"/>
          <w:lang w:eastAsia="ru-RU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Exports of goods and services (% of GDP)</w:t>
      </w:r>
      <w:r>
        <w:rPr>
          <w:rFonts w:eastAsia="Times New Roman"/>
          <w:color w:val="000000"/>
          <w:sz w:val="24"/>
          <w:szCs w:val="24"/>
          <w:lang w:eastAsia="ru-RU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Exports of goods and services (annual % growth)</w:t>
      </w:r>
      <w:r>
        <w:rPr>
          <w:rFonts w:eastAsia="Times New Roman"/>
          <w:color w:val="000000"/>
          <w:sz w:val="24"/>
          <w:szCs w:val="24"/>
          <w:lang w:eastAsia="ru-RU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Exports of goods and services (current US$)</w:t>
      </w:r>
      <w:r>
        <w:rPr>
          <w:rFonts w:eastAsia="Times New Roman"/>
          <w:color w:val="000000"/>
          <w:sz w:val="24"/>
          <w:szCs w:val="24"/>
          <w:lang w:eastAsia="ru-RU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Food exports (% of merchandise exports)</w:t>
      </w:r>
      <w:r>
        <w:rPr>
          <w:rFonts w:eastAsia="Times New Roman"/>
          <w:color w:val="000000"/>
          <w:sz w:val="24"/>
          <w:szCs w:val="24"/>
          <w:lang w:eastAsia="ru-RU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Fuel exports (% of merchandise exports)</w:t>
      </w:r>
      <w:r>
        <w:rPr>
          <w:rFonts w:eastAsia="Times New Roman"/>
          <w:color w:val="000000"/>
          <w:sz w:val="24"/>
          <w:szCs w:val="24"/>
          <w:lang w:eastAsia="ru-RU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Goods exports (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BoP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, current US$)</w:t>
      </w:r>
      <w:r>
        <w:rPr>
          <w:rFonts w:eastAsia="Times New Roman"/>
          <w:color w:val="000000"/>
          <w:sz w:val="24"/>
          <w:szCs w:val="24"/>
          <w:lang w:eastAsia="ru-RU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Manufactures exports (% of merchandise exports)</w:t>
      </w:r>
      <w:r>
        <w:rPr>
          <w:rFonts w:eastAsia="Times New Roman"/>
          <w:color w:val="000000"/>
          <w:sz w:val="24"/>
          <w:szCs w:val="24"/>
          <w:lang w:eastAsia="ru-RU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Merchandise exports (current US$)</w:t>
      </w:r>
      <w:r>
        <w:rPr>
          <w:rFonts w:eastAsia="Times New Roman"/>
          <w:color w:val="000000"/>
          <w:sz w:val="24"/>
          <w:szCs w:val="24"/>
          <w:lang w:eastAsia="ru-RU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Ores and metals exports (% of merchandise exports) </w:t>
      </w:r>
      <w:r>
        <w:rPr>
          <w:rFonts w:eastAsia="Times New Roman"/>
          <w:color w:val="000000"/>
          <w:sz w:val="24"/>
          <w:szCs w:val="24"/>
          <w:lang w:eastAsia="ru-RU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Transport services (% of commercial service exports) </w:t>
      </w:r>
      <w:r>
        <w:rPr>
          <w:rFonts w:eastAsia="Times New Roman"/>
          <w:color w:val="000000"/>
          <w:sz w:val="24"/>
          <w:szCs w:val="24"/>
          <w:lang w:eastAsia="ru-RU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Income_group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 (low income, lower middle income, upper middle income, high income)</w:t>
      </w:r>
      <w:r>
        <w:rPr>
          <w:rFonts w:eastAsia="Times New Roman"/>
          <w:color w:val="000000"/>
          <w:sz w:val="24"/>
          <w:szCs w:val="24"/>
          <w:lang w:eastAsia="ru-RU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val="ru-RU"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OECD</w:t>
      </w:r>
      <w:r>
        <w:rPr>
          <w:rFonts w:eastAsia="Times New Roman"/>
          <w:color w:val="000000"/>
          <w:sz w:val="24"/>
          <w:szCs w:val="24"/>
          <w:lang w:val="ru-RU" w:eastAsia="ru-RU"/>
        </w:rPr>
        <w:t xml:space="preserve">_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members</w:t>
      </w:r>
      <w:r>
        <w:rPr>
          <w:rFonts w:eastAsia="Times New Roman"/>
          <w:color w:val="000000"/>
          <w:sz w:val="24"/>
          <w:szCs w:val="24"/>
          <w:lang w:val="ru-RU" w:eastAsia="ru-RU"/>
        </w:rPr>
        <w:t xml:space="preserve"> (1-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yes</w:t>
      </w:r>
      <w:r>
        <w:rPr>
          <w:rFonts w:eastAsia="Times New Roman"/>
          <w:color w:val="000000"/>
          <w:sz w:val="24"/>
          <w:szCs w:val="24"/>
          <w:lang w:val="ru-RU" w:eastAsia="ru-RU"/>
        </w:rPr>
        <w:t xml:space="preserve">, 0 – 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no</w:t>
      </w:r>
      <w:r>
        <w:rPr>
          <w:rFonts w:eastAsia="Times New Roman"/>
          <w:color w:val="000000"/>
          <w:sz w:val="24"/>
          <w:szCs w:val="24"/>
          <w:lang w:val="ru-RU" w:eastAsia="ru-RU"/>
        </w:rPr>
        <w:t xml:space="preserve">)</w:t>
      </w:r>
      <w:r>
        <w:rPr>
          <w:rFonts w:eastAsia="Times New Roman"/>
          <w:color w:val="000000"/>
          <w:sz w:val="24"/>
          <w:szCs w:val="24"/>
          <w:lang w:val="ru-RU" w:eastAsia="ru-RU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European_Union_members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 (1-yes, 0 – no)</w:t>
      </w:r>
      <w:r>
        <w:rPr>
          <w:rFonts w:eastAsia="Times New Roman"/>
          <w:color w:val="000000"/>
          <w:sz w:val="24"/>
          <w:szCs w:val="24"/>
          <w:lang w:eastAsia="ru-RU"/>
        </w:rPr>
      </w:r>
    </w:p>
    <w:p>
      <w:pPr>
        <w:pStyle w:val="634"/>
        <w:numPr>
          <w:ilvl w:val="0"/>
          <w:numId w:val="2"/>
        </w:numPr>
        <w:spacing w:after="0" w:line="36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 xml:space="preserve">Least developed countries (1-yes, 0 – no)</w:t>
      </w:r>
      <w:r>
        <w:rPr>
          <w:rFonts w:eastAsia="Times New Roman"/>
          <w:color w:val="000000"/>
          <w:sz w:val="24"/>
          <w:szCs w:val="24"/>
          <w:lang w:eastAsia="ru-RU"/>
        </w:rPr>
      </w:r>
    </w:p>
    <w:p>
      <w:pPr>
        <w:spacing w:line="360" w:lineRule="auto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u w:val="single"/>
        </w:rPr>
      </w:r>
      <w:r>
        <w:rPr>
          <w:rFonts w:asciiTheme="minorHAnsi" w:hAnsiTheme="minorHAnsi" w:cstheme="minorHAnsi"/>
          <w:u w:val="single"/>
        </w:rPr>
      </w:r>
    </w:p>
    <w:p>
      <w:pPr>
        <w:spacing w:line="360" w:lineRule="auto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u w:val="single"/>
        </w:rPr>
      </w:r>
      <w:r>
        <w:rPr>
          <w:rFonts w:asciiTheme="minorHAnsi" w:hAnsiTheme="minorHAnsi" w:cstheme="minorHAnsi"/>
          <w:u w:val="single"/>
        </w:rPr>
      </w:r>
    </w:p>
    <w:p>
      <w:pPr>
        <w:spacing w:line="360" w:lineRule="auto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u w:val="single"/>
        </w:rPr>
        <w:t xml:space="preserve">Please consider the following tasks</w:t>
      </w:r>
      <w:r>
        <w:rPr>
          <w:rFonts w:asciiTheme="minorHAnsi" w:hAnsiTheme="minorHAnsi" w:cstheme="minorHAnsi"/>
          <w:u w:val="single"/>
        </w:rPr>
      </w:r>
    </w:p>
    <w:p>
      <w:pPr>
        <w:jc w:val="both"/>
        <w:spacing w:line="360" w:lineRule="auto"/>
      </w:pPr>
      <w:r/>
      <w:r/>
    </w:p>
    <w:p>
      <w:pPr>
        <w:jc w:val="both"/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1. For interval or ratio scale variables</w:t>
      </w:r>
      <w:r>
        <w:rPr>
          <w:rFonts w:asciiTheme="minorHAnsi" w:hAnsiTheme="minorHAnsi" w:cstheme="minorHAnsi"/>
          <w:color w:val="000000"/>
        </w:rPr>
        <w:t xml:space="preserve"> run </w:t>
      </w:r>
      <w:r>
        <w:rPr>
          <w:rFonts w:asciiTheme="minorHAnsi" w:hAnsiTheme="minorHAnsi" w:cstheme="minorHAnsi"/>
          <w:color w:val="000000"/>
        </w:rPr>
        <w:t xml:space="preserve">suitable normality test</w:t>
      </w:r>
      <w:r>
        <w:rPr>
          <w:rFonts w:asciiTheme="minorHAnsi" w:hAnsiTheme="minorHAnsi" w:cstheme="minorHAnsi"/>
          <w:color w:val="000000"/>
        </w:rPr>
        <w:t xml:space="preserve">s to check whether their</w:t>
      </w:r>
      <w:r>
        <w:rPr>
          <w:rFonts w:asciiTheme="minorHAnsi" w:hAnsiTheme="minorHAnsi" w:cstheme="minorHAnsi"/>
          <w:color w:val="000000"/>
        </w:rPr>
        <w:t xml:space="preserve"> distribution is close to the normal distribution. Formulate hypothesis. Make conclusions.</w:t>
      </w:r>
      <w:r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Create</w:t>
      </w:r>
      <w:r>
        <w:rPr>
          <w:rFonts w:asciiTheme="minorHAnsi" w:hAnsiTheme="minorHAnsi" w:cstheme="minorHAnsi"/>
          <w:color w:val="000000"/>
        </w:rPr>
        <w:t xml:space="preserve"> suitable graph</w:t>
      </w:r>
      <w:r>
        <w:rPr>
          <w:rFonts w:asciiTheme="minorHAnsi" w:hAnsiTheme="minorHAnsi" w:cstheme="minorHAnsi"/>
          <w:color w:val="000000"/>
        </w:rPr>
        <w:t xml:space="preserve">s</w:t>
      </w:r>
      <w:r>
        <w:rPr>
          <w:rFonts w:asciiTheme="minorHAnsi" w:hAnsiTheme="minorHAnsi" w:cstheme="minorHAnsi"/>
          <w:color w:val="000000"/>
        </w:rPr>
        <w:t xml:space="preserve"> to compare the variables’ distributions with the normal distribution.</w:t>
      </w:r>
      <w:r>
        <w:rPr>
          <w:rFonts w:asciiTheme="minorHAnsi" w:hAnsiTheme="minorHAnsi" w:cstheme="minorHAnsi"/>
          <w:color w:val="000000"/>
        </w:rPr>
      </w:r>
    </w:p>
    <w:p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jc w:val="both"/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2. Run a chi-square test to analyze the relationship between categorical variables. You can take the existing variables or create new categorical variables based on interval or ratio scale </w:t>
      </w:r>
      <w:r>
        <w:rPr>
          <w:rFonts w:asciiTheme="minorHAnsi" w:hAnsiTheme="minorHAnsi" w:cstheme="minorHAnsi"/>
          <w:color w:val="000000"/>
        </w:rPr>
        <w:t xml:space="preserve">variables. Explain why the chi-square test is applicable to analyze the relationship between the selected pairs of variables. Create a contingency table based on these variables and descr</w:t>
      </w:r>
      <w:r>
        <w:rPr>
          <w:rFonts w:asciiTheme="minorHAnsi" w:hAnsiTheme="minorHAnsi" w:cstheme="minorHAnsi"/>
          <w:color w:val="000000"/>
        </w:rPr>
        <w:t xml:space="preserve">ibe the tendencies that you can observe in frequency distribution. Formulate hypotheses for the chi-square test, interpret the results of analysis and make conclusions. Create a suitable graph to demonstrate the relationship between the selected variables.</w:t>
      </w:r>
      <w:r>
        <w:rPr>
          <w:rFonts w:asciiTheme="minorHAnsi" w:hAnsiTheme="minorHAnsi" w:cstheme="minorHAnsi"/>
          <w:color w:val="000000"/>
        </w:rPr>
      </w:r>
    </w:p>
    <w:p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jc w:val="both"/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3. Calculate appropriate correlation coefficients between </w:t>
      </w:r>
      <w:r>
        <w:rPr>
          <w:rFonts w:asciiTheme="minorHAnsi" w:hAnsiTheme="minorHAnsi" w:cstheme="minorHAnsi"/>
          <w:b/>
          <w:i/>
          <w:color w:val="000000"/>
        </w:rPr>
        <w:t xml:space="preserve">any three pairs</w:t>
      </w:r>
      <w:r>
        <w:rPr>
          <w:rFonts w:asciiTheme="minorHAnsi" w:hAnsiTheme="minorHAnsi" w:cstheme="minorHAnsi"/>
          <w:b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of variables. Explain the selection of the correlation coefficient. Fill in the table below. Interpret the results.</w:t>
      </w:r>
      <w:r>
        <w:rPr>
          <w:rFonts w:asciiTheme="minorHAnsi" w:hAnsiTheme="minorHAnsi" w:cstheme="minorHAnsi"/>
          <w:color w:val="000000"/>
        </w:rPr>
        <w:t xml:space="preserve"> Create suitable graphs to visualize the analyzed relationships.</w:t>
      </w:r>
      <w:r>
        <w:rPr>
          <w:rFonts w:asciiTheme="minorHAnsi" w:hAnsiTheme="minorHAnsi" w:cstheme="minorHAnsi"/>
          <w:color w:val="000000"/>
        </w:rPr>
      </w:r>
    </w:p>
    <w:p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tbl>
      <w:tblPr>
        <w:tblStyle w:val="639"/>
        <w:tblW w:w="94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1559"/>
        <w:gridCol w:w="1134"/>
        <w:gridCol w:w="1418"/>
        <w:gridCol w:w="1417"/>
        <w:gridCol w:w="1347"/>
      </w:tblGrid>
      <w:tr>
        <w:tblPrEx/>
        <w:trPr/>
        <w:tc>
          <w:tcPr>
            <w:shd w:val="clear" w:color="auto" w:fill="auto"/>
            <w:tcW w:w="2547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Variables</w:t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559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Appropriate correlation coefficient</w:t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134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Hypotheses</w:t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418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Strength of the relationship</w:t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417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Direction of the relationship</w:t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347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Significance of the relationship</w:t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</w:tr>
      <w:tr>
        <w:tblPrEx/>
        <w:trPr/>
        <w:tc>
          <w:tcPr>
            <w:shd w:val="clear" w:color="auto" w:fill="auto"/>
            <w:tcW w:w="2547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559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134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418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417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347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</w:tr>
      <w:tr>
        <w:tblPrEx/>
        <w:trPr/>
        <w:tc>
          <w:tcPr>
            <w:shd w:val="clear" w:color="auto" w:fill="auto"/>
            <w:tcW w:w="2547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559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134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418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417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347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</w:tr>
      <w:tr>
        <w:tblPrEx/>
        <w:trPr/>
        <w:tc>
          <w:tcPr>
            <w:shd w:val="clear" w:color="auto" w:fill="auto"/>
            <w:tcW w:w="2547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559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134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418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417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  <w:tc>
          <w:tcPr>
            <w:shd w:val="clear" w:color="auto" w:fill="auto"/>
            <w:tcW w:w="1347" w:type="dxa"/>
            <w:textDirection w:val="lrTb"/>
            <w:noWrap w:val="false"/>
          </w:tcPr>
          <w:p>
            <w:pPr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</w:r>
            <w:r>
              <w:rPr>
                <w:rFonts w:asciiTheme="minorHAnsi" w:hAnsiTheme="minorHAnsi" w:cstheme="minorHAnsi"/>
                <w:color w:val="000000"/>
              </w:rPr>
            </w:r>
          </w:p>
        </w:tc>
      </w:tr>
    </w:tbl>
    <w:p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jc w:val="both"/>
        <w:spacing w:line="360" w:lineRule="auto"/>
      </w:pPr>
      <w:r/>
      <w:r/>
    </w:p>
    <w:p>
      <w:pPr>
        <w:jc w:val="both"/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4. Calculate a paired correlation coefficient between any variables. </w:t>
      </w:r>
      <w:r>
        <w:rPr>
          <w:rFonts w:asciiTheme="minorHAnsi" w:hAnsiTheme="minorHAnsi" w:cstheme="minorHAnsi"/>
          <w:color w:val="000000"/>
        </w:rPr>
        <w:t xml:space="preserve">Then</w:t>
      </w:r>
      <w:r>
        <w:rPr>
          <w:rFonts w:asciiTheme="minorHAnsi" w:hAnsiTheme="minorHAnsi" w:cstheme="minorHAnsi"/>
          <w:color w:val="000000"/>
        </w:rPr>
        <w:t xml:space="preserve"> calculate the partial correlation coefficient between the same pair of variables controlling for any other </w:t>
      </w:r>
      <w:r>
        <w:rPr>
          <w:rFonts w:asciiTheme="minorHAnsi" w:hAnsiTheme="minorHAnsi" w:cstheme="minorHAnsi"/>
          <w:color w:val="000000"/>
        </w:rPr>
        <w:t xml:space="preserve">third </w:t>
      </w:r>
      <w:r>
        <w:rPr>
          <w:rFonts w:asciiTheme="minorHAnsi" w:hAnsiTheme="minorHAnsi" w:cstheme="minorHAnsi"/>
          <w:color w:val="000000"/>
        </w:rPr>
        <w:t xml:space="preserve">variable. Interpret the results of analysis. Create suitable graphs to visualize the analyzed relationships.</w:t>
      </w:r>
      <w:r>
        <w:rPr>
          <w:rFonts w:asciiTheme="minorHAnsi" w:hAnsiTheme="minorHAnsi" w:cstheme="minorHAnsi"/>
          <w:color w:val="000000"/>
        </w:rPr>
      </w:r>
    </w:p>
    <w:p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jc w:val="both"/>
        <w:spacing w:line="36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  <w:highlight w:val="yellow"/>
        </w:rPr>
        <w:t xml:space="preserve">Please upload the</w:t>
      </w:r>
      <w:r>
        <w:rPr>
          <w:rFonts w:asciiTheme="minorHAnsi" w:hAnsiTheme="minorHAnsi" w:cstheme="minorHAnsi"/>
          <w:highlight w:val="yellow"/>
        </w:rPr>
        <w:t xml:space="preserve"> </w:t>
      </w:r>
      <w:r>
        <w:rPr>
          <w:rFonts w:asciiTheme="minorHAnsi" w:hAnsiTheme="minorHAnsi" w:cstheme="minorHAnsi"/>
          <w:highlight w:val="yellow"/>
        </w:rPr>
        <w:t xml:space="preserve">Jupyter</w:t>
      </w:r>
      <w:r>
        <w:rPr>
          <w:rFonts w:asciiTheme="minorHAnsi" w:hAnsiTheme="minorHAnsi" w:cstheme="minorHAnsi"/>
          <w:highlight w:val="yellow"/>
        </w:rPr>
        <w:t xml:space="preserve"> No</w:t>
      </w:r>
      <w:r>
        <w:rPr>
          <w:rFonts w:asciiTheme="minorHAnsi" w:hAnsiTheme="minorHAnsi" w:cstheme="minorHAnsi"/>
          <w:highlight w:val="yellow"/>
        </w:rPr>
        <w:t xml:space="preserve">tebook with comments and answers in Smart LMS. </w:t>
      </w:r>
      <w:r>
        <w:rPr>
          <w:rFonts w:asciiTheme="minorHAnsi" w:hAnsiTheme="minorHAnsi" w:cstheme="minorHAnsi"/>
          <w:highlight w:val="yellow"/>
          <w:lang w:val="en-US"/>
        </w:rPr>
        <w:t xml:space="preserve">The deadline is 29 September 23:55.</w:t>
      </w:r>
      <w:r>
        <w:rPr>
          <w:rFonts w:asciiTheme="minorHAnsi" w:hAnsiTheme="minorHAnsi" w:cstheme="minorHAnsi"/>
          <w:highlight w:val="yellow"/>
          <w:lang w:val="en-US"/>
        </w:rPr>
        <w:t xml:space="preserve"> </w:t>
      </w:r>
      <w:r/>
      <w:r>
        <w:rPr>
          <w:rFonts w:asciiTheme="minorHAnsi" w:hAnsiTheme="minorHAnsi" w:cstheme="minorHAnsi"/>
          <w:highlight w:val="yellow"/>
        </w:rPr>
        <w:t xml:space="preserve"> The task can be done individually or in a group of 2 students. If the task is done in a group, then one member of the group should upload the task indicating the surnames of the group members in the file name.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Cs/>
        </w:rPr>
      </w:r>
    </w:p>
    <w:p>
      <w:pPr>
        <w:numPr>
          <w:ilvl w:val="0"/>
          <w:numId w:val="1"/>
        </w:numPr>
        <w:spacing w:line="36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   </w:t>
      </w:r>
      <w:r>
        <w:rPr>
          <w:rFonts w:asciiTheme="minorHAnsi" w:hAnsiTheme="minorHAnsi" w:cstheme="minorHAnsi"/>
          <w:bCs/>
        </w:rPr>
      </w:r>
    </w:p>
    <w:p>
      <w:pPr>
        <w:spacing w:line="360" w:lineRule="auto"/>
        <w:rPr>
          <w:rFonts w:asciiTheme="minorHAnsi" w:hAnsiTheme="minorHAnsi" w:cstheme="minorHAnsi"/>
          <w:color w:val="000000"/>
        </w:rPr>
      </w:pPr>
      <w:r/>
      <w:bookmarkStart w:id="0" w:name="_GoBack"/>
      <w:r/>
      <w:bookmarkEnd w:id="0"/>
      <w:r/>
      <w:r>
        <w:rPr>
          <w:rFonts w:asciiTheme="minorHAnsi" w:hAnsiTheme="minorHAnsi" w:cstheme="minorHAnsi"/>
          <w:color w:val="000000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Georgia">
    <w:panose1 w:val="0204050305040603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 "/>
      <w:lvlJc w:val="left"/>
      <w:pPr>
        <w:ind w:left="720" w:hanging="360"/>
        <w:tabs>
          <w:tab w:val="num" w:pos="720" w:leader="none"/>
        </w:tabs>
      </w:pPr>
      <w:rPr>
        <w:rFonts w:hint="default" w:ascii="Calibri" w:hAnsi="Calibri"/>
      </w:rPr>
    </w:lvl>
    <w:lvl w:ilvl="1">
      <w:start w:val="1"/>
      <w:numFmt w:val="bullet"/>
      <w:isLgl w:val="false"/>
      <w:suff w:val="tab"/>
      <w:lvlText w:val=" "/>
      <w:lvlJc w:val="left"/>
      <w:pPr>
        <w:ind w:left="1440" w:hanging="360"/>
        <w:tabs>
          <w:tab w:val="num" w:pos="1440" w:leader="none"/>
        </w:tabs>
      </w:pPr>
      <w:rPr>
        <w:rFonts w:hint="default" w:ascii="Calibri" w:hAnsi="Calibri"/>
      </w:rPr>
    </w:lvl>
    <w:lvl w:ilvl="2">
      <w:start w:val="1"/>
      <w:numFmt w:val="bullet"/>
      <w:isLgl w:val="false"/>
      <w:suff w:val="tab"/>
      <w:lvlText w:val=" "/>
      <w:lvlJc w:val="left"/>
      <w:pPr>
        <w:ind w:left="2160" w:hanging="360"/>
        <w:tabs>
          <w:tab w:val="num" w:pos="2160" w:leader="none"/>
        </w:tabs>
      </w:pPr>
      <w:rPr>
        <w:rFonts w:hint="default" w:ascii="Calibri" w:hAnsi="Calibri"/>
      </w:rPr>
    </w:lvl>
    <w:lvl w:ilvl="3">
      <w:start w:val="1"/>
      <w:numFmt w:val="bullet"/>
      <w:isLgl w:val="false"/>
      <w:suff w:val="tab"/>
      <w:lvlText w:val=" "/>
      <w:lvlJc w:val="left"/>
      <w:pPr>
        <w:ind w:left="2880" w:hanging="360"/>
        <w:tabs>
          <w:tab w:val="num" w:pos="2880" w:leader="none"/>
        </w:tabs>
      </w:pPr>
      <w:rPr>
        <w:rFonts w:hint="default" w:ascii="Calibri" w:hAnsi="Calibri"/>
      </w:rPr>
    </w:lvl>
    <w:lvl w:ilvl="4">
      <w:start w:val="1"/>
      <w:numFmt w:val="bullet"/>
      <w:isLgl w:val="false"/>
      <w:suff w:val="tab"/>
      <w:lvlText w:val=" "/>
      <w:lvlJc w:val="left"/>
      <w:pPr>
        <w:ind w:left="3600" w:hanging="360"/>
        <w:tabs>
          <w:tab w:val="num" w:pos="3600" w:leader="none"/>
        </w:tabs>
      </w:pPr>
      <w:rPr>
        <w:rFonts w:hint="default" w:ascii="Calibri" w:hAnsi="Calibri"/>
      </w:rPr>
    </w:lvl>
    <w:lvl w:ilvl="5">
      <w:start w:val="1"/>
      <w:numFmt w:val="bullet"/>
      <w:isLgl w:val="false"/>
      <w:suff w:val="tab"/>
      <w:lvlText w:val=" "/>
      <w:lvlJc w:val="left"/>
      <w:pPr>
        <w:ind w:left="4320" w:hanging="360"/>
        <w:tabs>
          <w:tab w:val="num" w:pos="4320" w:leader="none"/>
        </w:tabs>
      </w:pPr>
      <w:rPr>
        <w:rFonts w:hint="default" w:ascii="Calibri" w:hAnsi="Calibri"/>
      </w:rPr>
    </w:lvl>
    <w:lvl w:ilvl="6">
      <w:start w:val="1"/>
      <w:numFmt w:val="bullet"/>
      <w:isLgl w:val="false"/>
      <w:suff w:val="tab"/>
      <w:lvlText w:val=" "/>
      <w:lvlJc w:val="left"/>
      <w:pPr>
        <w:ind w:left="5040" w:hanging="360"/>
        <w:tabs>
          <w:tab w:val="num" w:pos="5040" w:leader="none"/>
        </w:tabs>
      </w:pPr>
      <w:rPr>
        <w:rFonts w:hint="default" w:ascii="Calibri" w:hAnsi="Calibri"/>
      </w:rPr>
    </w:lvl>
    <w:lvl w:ilvl="7">
      <w:start w:val="1"/>
      <w:numFmt w:val="bullet"/>
      <w:isLgl w:val="false"/>
      <w:suff w:val="tab"/>
      <w:lvlText w:val=" "/>
      <w:lvlJc w:val="left"/>
      <w:pPr>
        <w:ind w:left="5760" w:hanging="360"/>
        <w:tabs>
          <w:tab w:val="num" w:pos="5760" w:leader="none"/>
        </w:tabs>
      </w:pPr>
      <w:rPr>
        <w:rFonts w:hint="default" w:ascii="Calibri" w:hAnsi="Calibri"/>
      </w:rPr>
    </w:lvl>
    <w:lvl w:ilvl="8">
      <w:start w:val="1"/>
      <w:numFmt w:val="bullet"/>
      <w:isLgl w:val="false"/>
      <w:suff w:val="tab"/>
      <w:lvlText w:val=" "/>
      <w:lvlJc w:val="left"/>
      <w:pPr>
        <w:ind w:left="6480" w:hanging="360"/>
        <w:tabs>
          <w:tab w:val="num" w:pos="6480" w:leader="none"/>
        </w:tabs>
      </w:pPr>
      <w:rPr>
        <w:rFonts w:hint="default" w:ascii="Calibri" w:hAnsi="Calibri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28"/>
    <w:link w:val="622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28"/>
    <w:link w:val="623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28"/>
    <w:link w:val="624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28"/>
    <w:link w:val="625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28"/>
    <w:link w:val="626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28"/>
    <w:link w:val="627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1"/>
    <w:next w:val="62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1"/>
    <w:next w:val="62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1"/>
    <w:next w:val="62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28"/>
    <w:link w:val="632"/>
    <w:uiPriority w:val="10"/>
    <w:rPr>
      <w:sz w:val="48"/>
      <w:szCs w:val="48"/>
    </w:rPr>
  </w:style>
  <w:style w:type="character" w:styleId="37">
    <w:name w:val="Subtitle Char"/>
    <w:basedOn w:val="628"/>
    <w:link w:val="638"/>
    <w:uiPriority w:val="11"/>
    <w:rPr>
      <w:sz w:val="24"/>
      <w:szCs w:val="24"/>
    </w:rPr>
  </w:style>
  <w:style w:type="paragraph" w:styleId="38">
    <w:name w:val="Quote"/>
    <w:basedOn w:val="621"/>
    <w:next w:val="62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1"/>
    <w:next w:val="62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8"/>
    <w:link w:val="42"/>
    <w:uiPriority w:val="99"/>
  </w:style>
  <w:style w:type="paragraph" w:styleId="44">
    <w:name w:val="Footer"/>
    <w:basedOn w:val="62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8"/>
    <w:link w:val="44"/>
    <w:uiPriority w:val="99"/>
  </w:style>
  <w:style w:type="paragraph" w:styleId="46">
    <w:name w:val="Caption"/>
    <w:basedOn w:val="621"/>
    <w:next w:val="62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2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8"/>
    <w:uiPriority w:val="99"/>
    <w:unhideWhenUsed/>
    <w:rPr>
      <w:vertAlign w:val="superscript"/>
    </w:rPr>
  </w:style>
  <w:style w:type="paragraph" w:styleId="178">
    <w:name w:val="endnote text"/>
    <w:basedOn w:val="62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8"/>
    <w:uiPriority w:val="99"/>
    <w:semiHidden/>
    <w:unhideWhenUsed/>
    <w:rPr>
      <w:vertAlign w:val="superscript"/>
    </w:rPr>
  </w:style>
  <w:style w:type="paragraph" w:styleId="181">
    <w:name w:val="toc 1"/>
    <w:basedOn w:val="621"/>
    <w:next w:val="62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1"/>
    <w:next w:val="62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1"/>
    <w:next w:val="62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1"/>
    <w:next w:val="62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1"/>
    <w:next w:val="62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1"/>
    <w:next w:val="62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1"/>
    <w:next w:val="62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1"/>
    <w:next w:val="62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1"/>
    <w:next w:val="62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1"/>
    <w:next w:val="621"/>
    <w:uiPriority w:val="99"/>
    <w:unhideWhenUsed/>
    <w:pPr>
      <w:spacing w:after="0" w:afterAutospacing="0"/>
    </w:pPr>
  </w:style>
  <w:style w:type="paragraph" w:styleId="621" w:default="1">
    <w:name w:val="Normal"/>
    <w:qFormat/>
  </w:style>
  <w:style w:type="paragraph" w:styleId="622">
    <w:name w:val="Heading 1"/>
    <w:basedOn w:val="621"/>
    <w:next w:val="621"/>
    <w:pPr>
      <w:keepLines/>
      <w:keepNext/>
      <w:spacing w:before="480" w:after="120"/>
      <w:outlineLvl w:val="0"/>
    </w:pPr>
    <w:rPr>
      <w:b/>
      <w:sz w:val="48"/>
      <w:szCs w:val="48"/>
    </w:rPr>
  </w:style>
  <w:style w:type="paragraph" w:styleId="623">
    <w:name w:val="Heading 2"/>
    <w:basedOn w:val="621"/>
    <w:next w:val="621"/>
    <w:pPr>
      <w:keepLines/>
      <w:keepNext/>
      <w:spacing w:before="360" w:after="80"/>
      <w:outlineLvl w:val="1"/>
    </w:pPr>
    <w:rPr>
      <w:b/>
      <w:sz w:val="36"/>
      <w:szCs w:val="36"/>
    </w:rPr>
  </w:style>
  <w:style w:type="paragraph" w:styleId="624">
    <w:name w:val="Heading 3"/>
    <w:basedOn w:val="621"/>
    <w:next w:val="621"/>
    <w:pPr>
      <w:keepLines/>
      <w:keepNext/>
      <w:spacing w:before="280" w:after="80"/>
      <w:outlineLvl w:val="2"/>
    </w:pPr>
    <w:rPr>
      <w:b/>
      <w:sz w:val="28"/>
      <w:szCs w:val="28"/>
    </w:rPr>
  </w:style>
  <w:style w:type="paragraph" w:styleId="625">
    <w:name w:val="Heading 4"/>
    <w:basedOn w:val="621"/>
    <w:next w:val="621"/>
    <w:pPr>
      <w:keepLines/>
      <w:keepNext/>
      <w:spacing w:before="240" w:after="40"/>
      <w:outlineLvl w:val="3"/>
    </w:pPr>
    <w:rPr>
      <w:b/>
    </w:rPr>
  </w:style>
  <w:style w:type="paragraph" w:styleId="626">
    <w:name w:val="Heading 5"/>
    <w:basedOn w:val="621"/>
    <w:next w:val="621"/>
    <w:pPr>
      <w:keepLines/>
      <w:keepNext/>
      <w:spacing w:before="220" w:after="40"/>
      <w:outlineLvl w:val="4"/>
    </w:pPr>
    <w:rPr>
      <w:b/>
      <w:sz w:val="22"/>
      <w:szCs w:val="22"/>
    </w:rPr>
  </w:style>
  <w:style w:type="paragraph" w:styleId="627">
    <w:name w:val="Heading 6"/>
    <w:basedOn w:val="621"/>
    <w:next w:val="621"/>
    <w:pPr>
      <w:keepLines/>
      <w:keepNext/>
      <w:spacing w:before="200" w:after="40"/>
      <w:outlineLvl w:val="5"/>
    </w:pPr>
    <w:rPr>
      <w:b/>
      <w:sz w:val="20"/>
      <w:szCs w:val="20"/>
    </w:rPr>
  </w:style>
  <w:style w:type="character" w:styleId="628" w:default="1">
    <w:name w:val="Default Paragraph Font"/>
    <w:uiPriority w:val="1"/>
    <w:semiHidden/>
    <w:unhideWhenUsed/>
  </w:style>
  <w:style w:type="table" w:styleId="62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0" w:default="1">
    <w:name w:val="No List"/>
    <w:uiPriority w:val="99"/>
    <w:semiHidden/>
    <w:unhideWhenUsed/>
  </w:style>
  <w:style w:type="table" w:styleId="631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632">
    <w:name w:val="Title"/>
    <w:basedOn w:val="621"/>
    <w:next w:val="621"/>
    <w:pPr>
      <w:keepLines/>
      <w:keepNext/>
      <w:spacing w:before="480" w:after="120"/>
    </w:pPr>
    <w:rPr>
      <w:b/>
      <w:sz w:val="72"/>
      <w:szCs w:val="72"/>
    </w:rPr>
  </w:style>
  <w:style w:type="character" w:styleId="633">
    <w:name w:val="Hyperlink"/>
    <w:rPr>
      <w:color w:val="0000ff"/>
      <w:u w:val="single"/>
    </w:rPr>
  </w:style>
  <w:style w:type="paragraph" w:styleId="634">
    <w:name w:val="List Paragraph"/>
    <w:basedOn w:val="621"/>
    <w:uiPriority w:val="99"/>
    <w:qFormat/>
    <w:pPr>
      <w:ind w:left="720"/>
      <w:spacing w:after="200" w:line="276" w:lineRule="auto"/>
    </w:pPr>
    <w:rPr>
      <w:rFonts w:ascii="Calibri" w:hAnsi="Calibri" w:eastAsia="Calibri" w:cs="Calibri"/>
      <w:sz w:val="22"/>
      <w:szCs w:val="22"/>
      <w:lang w:eastAsia="en-US"/>
    </w:rPr>
  </w:style>
  <w:style w:type="paragraph" w:styleId="635" w:customStyle="1">
    <w:name w:val="Абзац списка1"/>
    <w:basedOn w:val="621"/>
    <w:pPr>
      <w:contextualSpacing/>
      <w:ind w:left="720"/>
    </w:pPr>
  </w:style>
  <w:style w:type="paragraph" w:styleId="636" w:customStyle="1">
    <w:name w:val="Абзац списка1"/>
    <w:basedOn w:val="621"/>
    <w:pPr>
      <w:contextualSpacing/>
      <w:ind w:left="720"/>
    </w:pPr>
  </w:style>
  <w:style w:type="character" w:styleId="637">
    <w:name w:val="Emphasis"/>
    <w:basedOn w:val="628"/>
    <w:uiPriority w:val="20"/>
    <w:qFormat/>
    <w:rPr>
      <w:i/>
      <w:iCs/>
    </w:rPr>
  </w:style>
  <w:style w:type="paragraph" w:styleId="638">
    <w:name w:val="Subtitle"/>
    <w:basedOn w:val="621"/>
    <w:next w:val="621"/>
    <w:pPr>
      <w:keepLines/>
      <w:keepNext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639" w:customStyle="1">
    <w:name w:val="StGen0"/>
    <w:basedOn w:val="63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640">
    <w:name w:val="Table Grid"/>
    <w:basedOn w:val="629"/>
    <w:rPr>
      <w:rFonts w:ascii="Calibri" w:hAnsi="Calibri" w:eastAsia="Calibri"/>
      <w:sz w:val="22"/>
      <w:szCs w:val="22"/>
      <w:lang w:val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41">
    <w:name w:val="HTML Preformatted"/>
    <w:basedOn w:val="621"/>
    <w:link w:val="642"/>
    <w:uiPriority w:val="99"/>
    <w:semiHidden/>
    <w:unhideWhenUsed/>
    <w:pPr>
      <w:spacing w:after="135"/>
      <w:shd w:val="clear" w:color="auto" w:fill="f5f5f5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pBdr>
        <w:top w:val="single" w:color="CCCCCC" w:sz="6" w:space="6"/>
        <w:left w:val="single" w:color="CCCCCC" w:sz="6" w:space="6"/>
        <w:bottom w:val="single" w:color="CCCCCC" w:sz="6" w:space="6"/>
        <w:right w:val="single" w:color="CCCCCC" w:sz="6" w:space="6"/>
      </w:pBdr>
    </w:pPr>
    <w:rPr>
      <w:rFonts w:ascii="Courier New" w:hAnsi="Courier New" w:cs="Courier New"/>
      <w:color w:val="333333"/>
      <w:sz w:val="18"/>
      <w:szCs w:val="18"/>
      <w:lang w:val="ru-RU"/>
    </w:rPr>
  </w:style>
  <w:style w:type="character" w:styleId="642" w:customStyle="1">
    <w:name w:val="Стандартный HTML Знак"/>
    <w:basedOn w:val="628"/>
    <w:link w:val="641"/>
    <w:uiPriority w:val="99"/>
    <w:semiHidden/>
    <w:rPr>
      <w:rFonts w:ascii="Courier New" w:hAnsi="Courier New" w:cs="Courier New"/>
      <w:color w:val="333333"/>
      <w:sz w:val="18"/>
      <w:szCs w:val="18"/>
      <w:shd w:val="clear" w:color="auto" w:fill="f5f5f5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ti+2MKj2W0vWF18tmNfX/X3Ffw==">AMUW2mUGiB41OkA9YtLuKwfeAJkHJAZfs+Mb6pib7TRGb0G2nEb7r0pTRV4L7MvvLwrfJJtXy6ev4lbEGfaGw/IJl/ZJbXEjVUD44tquqNia42SiNeJe3qv8wnAjj2Q49V+TpKIKHK6X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Алиса</dc:creator>
  <cp:lastModifiedBy>Алиса Меликян</cp:lastModifiedBy>
  <cp:revision>10</cp:revision>
  <dcterms:created xsi:type="dcterms:W3CDTF">2018-01-18T16:08:00Z</dcterms:created>
  <dcterms:modified xsi:type="dcterms:W3CDTF">2024-09-21T18:49:11Z</dcterms:modified>
</cp:coreProperties>
</file>