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МИНИСТЕРСТВО НАУКИ И ВЫСШЕГО ОБРАЗОВАНИЯ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РОССИЙСКОЙ ФЕДЕРАЦИИ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федеральное государственное бюджетное образовательное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учреждение высшего образования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«Казанский национальный исследовательский технический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университет им. А.Н. Туполева-КАИ»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(КНИТУ-КАИ)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Колледж информационных технологий «КИТ»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Дисциплина: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«Поддержка и тестирование программных модулей»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ЛАБОРАТОРНАЯ РАБОТА № 2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на тему: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«Автоматизированное модульное тестирование»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Вариант 2. Предметная область: «Служба доставки»</w:t>
      </w: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br/>
        <w:br/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p>
      <w:pPr>
        <w:spacing w:after="0" w:before="0" w:line="360" w:lineRule="auto"/>
        <w:ind w:right="0" w:left="0"/>
        <w:jc w:val="center"/>
        <w:rPr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  <w:r>
        <w:rPr>
          <w:rFonts w:ascii="Times New Roman" w:hAnsi="Times New Roman" w:eastAsia="Times New Roman" w:cs="Times New Roman"/>
          <w:color w:val="000000"/>
          <w:sz w:val="28"/>
        </w:rPr>
      </w:r>
    </w:p>
    <w:tbl>
      <w:tblPr>
        <w:tblInd w:w="4536" w:type="dxa"/>
        <w:tblW w:w="52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66"/>
        <w:gridCol w:w="3543"/>
      </w:tblGrid>
      <w:tr>
        <w:trPr/>
        <w:tc>
          <w:tcPr>
            <w:tcBorders/>
            <w:tcW w:w="1666" w:type="dxa"/>
            <w:vAlign w:val="center"/>
          </w:tcPr>
          <w:p>
            <w:pPr>
              <w:spacing w:after="0" w:before="0" w:line="360" w:lineRule="auto"/>
              <w:ind w:right="0" w:firstLine="0" w:left="0"/>
              <w:jc w:val="left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Выполнил: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</w:p>
        </w:tc>
        <w:tc>
          <w:tcPr>
            <w:tcBorders/>
            <w:tcW w:w="3543" w:type="dxa"/>
            <w:vAlign w:val="center"/>
          </w:tcPr>
          <w:p>
            <w:pPr>
              <w:spacing w:after="0" w:before="0" w:line="360" w:lineRule="auto"/>
              <w:ind w:right="0" w:firstLine="0" w:left="0"/>
              <w:jc w:val="right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Обучающийся группы ____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</w:p>
        </w:tc>
      </w:tr>
      <w:tr>
        <w:trPr/>
        <w:tc>
          <w:tcPr>
            <w:tcBorders/>
            <w:tcW w:w="1666" w:type="dxa"/>
            <w:vAlign w:val="center"/>
          </w:tcPr>
          <w:p>
            <w:pPr>
              <w:spacing w:after="0" w:before="0" w:line="360" w:lineRule="auto"/>
              <w:ind w:right="0" w:firstLine="0" w:left="0"/>
              <w:jc w:val="left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</w:p>
        </w:tc>
        <w:tc>
          <w:tcPr>
            <w:tcBorders/>
            <w:tcW w:w="3543" w:type="dxa"/>
            <w:vAlign w:val="center"/>
          </w:tcPr>
          <w:p>
            <w:pPr>
              <w:spacing w:after="0" w:before="0" w:line="360" w:lineRule="auto"/>
              <w:ind w:right="0" w:firstLine="0" w:left="0"/>
              <w:jc w:val="right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ФИО ________________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</w:p>
        </w:tc>
      </w:tr>
      <w:tr>
        <w:trPr/>
        <w:tc>
          <w:tcPr>
            <w:tcBorders/>
            <w:tcW w:w="1666" w:type="dxa"/>
            <w:vAlign w:val="center"/>
          </w:tcPr>
          <w:p>
            <w:pPr>
              <w:spacing w:after="0" w:before="0" w:line="360" w:lineRule="auto"/>
              <w:ind w:right="0" w:firstLine="0" w:left="0"/>
              <w:jc w:val="left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Проверил: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</w:p>
        </w:tc>
        <w:tc>
          <w:tcPr>
            <w:tcBorders/>
            <w:tcW w:w="3543" w:type="dxa"/>
            <w:vAlign w:val="center"/>
          </w:tcPr>
          <w:p>
            <w:pPr>
              <w:spacing w:after="0" w:before="0" w:line="360" w:lineRule="auto"/>
              <w:ind w:right="0" w:firstLine="0" w:left="0"/>
              <w:jc w:val="right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Тарасов Д.Е.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</w:r>
          </w:p>
        </w:tc>
      </w:tr>
    </w:tbl>
    <w:p w14:paraId="02708D72">
      <w:pPr>
        <w:spacing/>
        <w:ind w:firstLine="0"/>
        <w:jc w:val="center"/>
        <w:rPr>
          <w:rFonts w:ascii="Times New Roman" w:hAnsi="Times New Roman" w:eastAsia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>
      <w:pPr>
        <w:spacing w:after="0" w:before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Казань 2026г.</w:t>
      </w:r>
      <w:r>
        <w:rPr>
          <w:rFonts w:ascii="Times New Roman" w:hAnsi="Times New Roman" w:eastAsia="Times New Roman" w:cs="Times New Roman"/>
          <w:color w:val="000000"/>
          <w:sz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1 Анализ исходного кода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Цель лабораторной работы — проверить бизнес-правила службы доставки модульными тестами C# и освоить измерение покрытия с помощью Coverlet. Для проверки используются xUnit и FluentAssertions. Модуль разработан по циклу TDD: сначала тест, затем реализация и рефакторинг. Получены 77 успешных тестовых случаев; покрытие строк и ветвей равно 100% при требуемом минимуме 90%.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Исследуется метод CalculateCost класса DeliveryCalculator в библиотеке Lab2.Core. Заявка DeliveryRequest содержит расстояние DistanceKm, массу WeightKg, тип доставки Type, признаки хрупкости и страхования, а также DeclaredValue. Числовые поля и возвращаемая цена представлены типом decimal. Доступны три способа доставки: Standard, Express и Overnight.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Валидация допускает расстояние больше 0 и не больше 5000 км, вес больше 0 и не больше 1000 кг. Нарушение вызывает ArgumentException. Дополнительно проверяются null и неопределенное значение типа доставки. Эти проверки защищают модуль от некорректной заявки.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Базовый тариф определяется по расстоянию. Границы 10, 100 и 1000 км включаются в предшествующий диапазон. Таким образом, на самих границах стоимость непрерывна: 200, 2000 и 15500 руб. соответственно.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1 — Базовые тарифы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3402"/>
        <w:gridCol w:w="6287"/>
      </w:tblGrid>
      <w:tr>
        <w:trPr>
          <w:cantSplit/>
          <w:tblHeader/>
        </w:trPr>
        <w:tc>
          <w:tcPr>
            <w:tcW w:type="dxa" w:w="3402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Расстояние d, км</w:t>
            </w:r>
          </w:p>
        </w:tc>
        <w:tc>
          <w:tcPr>
            <w:tcW w:type="dxa" w:w="6287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Тариф, руб.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 &lt; d ≤ 10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&lt; d ≤ 100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 + 20 × (d − 10)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 &lt; d ≤ 1000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2000 + 15 × (d − 100)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 &lt; d ≤ 5000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15500 + 10 × (d − 1000)</w:t>
            </w:r>
          </w:p>
        </w:tc>
      </w:tr>
    </w:tbl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Надбавки и порядок расчета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Надбавка за вес равна 0 руб. до 5 кг включительно, 100 руб. свыше 5 до 20 кг, 300 руб. свыше 20 до 100 кг и 500 руб. свыше 100 кг. Коэффициент доставки умножает только базовый тариф: Standard — 1, Express — 1,5, Overnight — 2,5.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После умножения базового тарифа прибавляется надбавка за вес. Если груз хрупкий, полученная сумма увеличивается на 15%. Затем начисляется страховка: при IsInsured = true и DeclaredValue &gt; 0 берутся 2% объявленной стоимости, но не менее 100 руб. При отрицательной или нулевой стоимости страховка не начисляется. Отдельного исключения для нее методичка не требует.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 завершение применяется ограничение 50000 руб. Пример: расстояние 50 км, вес 20 кг, Express, хрупкий и застрахованный груз стоимостью 10000 руб. Базовый тариф равен 1000 руб.; расчет: (1000 × 1,5 + 100) × 1,15 + 200 = 2040 руб. Страховая сумма добавляется после надбавки за хрупкость, в порядке пунктов задания.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Для денежных вычислений используется decimal. Округление результата не вводится, поскольку оно не указано в варианте. Например, для 10,001 км обычная доставка стоит 200,020 руб. Метод не изменяет входную заявку и не обращается к сети, файлам или базе данных.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Тестирование охватывает проверки допустимости заявки, все четыре тарифа расстояния и четыре весовые надбавки, три коэффициента доставки, хрупкость, страхование и предел цены. Для каждого порога предусмотрены соседние значения. В таблице далее собраны 36 сценариев, спроектированных перед реализацией; один сценарий может проверяться несколькими наборами данных.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Матрица тестовых сценариев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Один сценарий может включать несколько наборов InlineData. По умолчанию используются расстояние 5 км, вес 1 кг, Standard, без страховки и хрупкости. Все суммы приведены в рублях.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2 — Матрица тестовых сценариев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Заявка null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Расстояние -1 и 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DistanceKm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Расстояние 5000,01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DistanceKm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Вес -1 и 0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WeightKg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Вес 1000,01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WeightKg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Положительные расстояние и вес 0,01; допустимые максимумы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Расчёт без исключения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TC-07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Базовый расчёт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Минимальная обычная доставка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TC-08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тарифа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9,99; 10; 10,01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200; 200; 200,20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TC-09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TC-10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тарифа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99,99; 100; 100,01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1999,80; 2000; 2000,15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тарифа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999,99; 1000; 1000,01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15499,85; 15500; 15500,10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 и предел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2000; 5000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25500; 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веса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4,99; 5; 5,01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200; 200; 300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веса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19,99; 20; 20,01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300; 300; 500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веса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99,99; 100; 100,01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500; 500; 700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TC-17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Макс. вес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TC-18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Тип доставки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Standard; Express; Overnight, 50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1000; 1500; 2500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TC-19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Порядок операций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Express; Overnight, 50 км, 20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1600; 2600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TC-20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Защита ввода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Неопределённый тип enum (-1, 3)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Type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Хрупкость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Standard, хрупкий груз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1265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Хрупкость и тип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Express, хрупкий груз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1840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Хрупкость выключена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Express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 выключена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-100; 0; 10000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Условие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 включена, declared value -100 и 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Минимум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0,01 и 4999,99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TC-27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5000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TC-28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 свыше минимума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5000,01; 10000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300,0002; 400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TC-29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Порядок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Express, хрупкий, declared value 10000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2040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TC-30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Нижняя граница предела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км, страховка 2489999,50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49999,99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Точная граница предела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км, страховка 2490000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Выше предела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км, страховка 2490000,50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Макс. ввод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 км, 1000 кг, Overnight, хрупкий, страховка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Точность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10,001 км, Standard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200,020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Повторный расчёт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Повторный расчёт одной заявки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Одинаковая цена, заявка не изменена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Флаги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Оба значения IsFragile и IsInsured при declared value &gt; 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200; 230; 400; 430</w:t>
            </w:r>
          </w:p>
        </w:tc>
      </w:tr>
    </w:tbl>
    <w:p>
      <w:pPr>
        <w:pStyle w:val="Heading1"/>
        <w:pageBreakBefore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2 Реализация Unit-тестов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Проект организован в решении Lab2.sln из двух частей: Lab2.Core хранит модель заявки, перечисление DeliveryType и калькулятор; Lab2.Tests выполняет изолированные проверки через ссылку на библиотеку. Тестовый проект использует xUnit, Microsoft.NET.Test.Sdk и адаптер Visual Studio, FluentAssertions и предусмотренные заданием пакеты coverlet.collector и coverlet.msbuild.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coverlet.collector используется по умолчанию для команды --collect. coverlet.msbuild включается свойством CoverageTool=msbuild для измерения покрытия через MSBuild. Пакеты выбираются по отдельности, чтобы одновременно не подключать две интеграции. ReportGenerator восстановлен из локального манифеста .config/dotnet-tools.json.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После подготовки успешно выполнен пустой шаблонный тест. Затем он удален: итоговый набор содержит только проверки предметной области. Тесты разделены на ValidationTests, TariffTests, InsuranceTests и LimitAndQualityTests. TestRequests создает независимую заявку для каждого запуска.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Разработка по TDD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Разработка выполнялась по TDD отдельно для валидации, тарифов, страховки и ограничения стоимости. Сначала выполнялись новые тесты и фиксировался их реальный провал, затем добавлялась логика до успешного результата. Этап Red подтвержден результатами TRX и не подменялся ошибкой компиляции. После четырех циклов выполнен рефакторинг с повторным запуском всего набора.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 — Результаты циклов TDD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3056"/>
        <w:gridCol w:w="1984"/>
        <w:gridCol w:w="2381"/>
        <w:gridCol w:w="2268"/>
      </w:tblGrid>
      <w:tr>
        <w:trPr>
          <w:cantSplit/>
          <w:tblHeader/>
        </w:trPr>
        <w:tc>
          <w:tcPr>
            <w:tcW w:type="dxa" w:w="3056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Блок правил</w:t>
            </w:r>
          </w:p>
        </w:tc>
        <w:tc>
          <w:tcPr>
            <w:tcW w:type="dxa" w:w="198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Всего тестов</w:t>
            </w:r>
          </w:p>
        </w:tc>
        <w:tc>
          <w:tcPr>
            <w:tcW w:type="dxa" w:w="238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Провал на Red</w:t>
            </w:r>
          </w:p>
        </w:tc>
        <w:tc>
          <w:tcPr>
            <w:tcW w:type="dxa" w:w="2268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Успех на Green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Тарифы и хрупкость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49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49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64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64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Ограничение цены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77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77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Каждая стадия Red и Green сохранена отдельным коммитом. Полные журналы находятся в docs/evidence/tdd, сводка запусков — в tdd-runs.json. После Refactor успешно выполнены все 77 случаев.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Одиночный тест Fact и паттерн AAA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 тесте проверяется совместное применение типа, веса, хрупкости и страховки. Arrange создает калькулятор и заявку, Act выполняет расчет, Assert проверяет точно вычисленную сумму. Ниже приведен показательный фрагмент InsuranceTests; необязательное пояснение в утверждении опущено.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[Fact]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public void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CalculateCost_WithAllSurcharges_AddsInsuranceLast()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{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ARRANGE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calculator = new DeliveryCalculator();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request = TestRequests.Create(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50m, 20m, DeliveryType.Express,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true, true, 10000m);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ACT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decimal result = calculator.CalculateCost(request);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ASSERT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result.Should().Be(2040m);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}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Такой тест обнаруживает ошибки порядка операций: умножение надбавки за вес на коэффициент типа или увеличение страховой суммы на 15%. Проверка только положительного результата эти ошибки не выявила бы.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Параметризованный тест Theory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Граничные данные объединены в один метод, потому что подготовка заявки, вызов и утверждение одинаковы. В полном тесте также проверяются границы 100 и 1000 км. В этом листинге показаны значения ниже, на границе и выше 10 км.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[Theory]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[InlineData(9.99, 200)]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[InlineData(10, 200)]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[InlineData(10.01, 200.20)]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public void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CalculateCost_WithDistanceTariffBoundaries_ReturnsExpectedCost(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double distance, double expected)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{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ARRANGE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calculator = new DeliveryCalculator();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request = TestRequests.Create(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distanceKm: (decimal)distance);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ACT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decimal result = calculator.CalculateCost(request);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ASSERT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result.Should().Be((decimal)expected);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}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InlineData задает отдельный случай xUnit для каждой строки. Параметры преобразуются в decimal до расчета; в основном модуле расстояние и сумма представлены только этим типом.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Проверка исключений через FluentAssertions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Негативные сценарии проверяют точный вид ошибки и имя некорректного параметра. Вызов помещен в делегат Action, поэтому исключение проверяется в секции Assert и не прерывает тест до утверждения.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[Theory]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[InlineData(-1)]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[InlineData(5000.01)]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public void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CalculateCost_WithInvalidDistance_ThrowsArgumentException(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double distance)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{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ARRANGE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calculator = new DeliveryCalculator();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request = TestRequests.Create(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distanceKm: (decimal)distance);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ACT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Action act = () =&gt; calculator.CalculateCost(request);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ASSERT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act.Should().Throw&lt;ArgumentException&gt;()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.WithParameterName(nameof(DeliveryRequest.DistanceKm));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}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Аналогично проверяются вес, null и неизвестный тип доставки. Названия методов следуют схеме MethodName_Condition_ExpectedBehavior, а все тесты содержат требуемые комментарии ARRANGE, ACT и ASSERT.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3 Результаты измерения покрытия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В итоговом запуске xUnit выполнены все 77 тестовых случаев без провалов. Coverlet зарегистрировал выполнение 57 из 57 строк и 32 из 32 ветвей сборки Lab2.Core. Таким образом, Line Coverage и Branch Coverage составляют 100%; оба результата превышают установленный методичкой порог 90%.</w:t>
      </w:r>
    </w:p>
    <w:p>
      <w:pPr>
        <w:keepNext/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760000" cy="370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-summary-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1 — Итоговый HTML отчет ReportGenerator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Промежуточный анализ покрытия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После реализации тарифов выполнен отдельный промежуточный запуск только ValidationTests. Он показывает, почему одной группы валидации недостаточно. Сравниваются разные этапы и наборы тестов; в финальном коде дополнительно реализованы страховка, предел цены и рефакторинг.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4 — Промежуточное и итоговое покрытие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3679"/>
        <w:gridCol w:w="3005"/>
        <w:gridCol w:w="3005"/>
      </w:tblGrid>
      <w:tr>
        <w:trPr>
          <w:cantSplit/>
          <w:tblHeader/>
        </w:trPr>
        <w:tc>
          <w:tcPr>
            <w:tcW w:type="dxa" w:w="3679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Запуск</w:t>
            </w:r>
          </w:p>
        </w:tc>
        <w:tc>
          <w:tcPr>
            <w:tcW w:type="dxa" w:w="3005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Line Coverage</w:t>
            </w:r>
          </w:p>
        </w:tc>
        <w:tc>
          <w:tcPr>
            <w:tcW w:type="dxa" w:w="3005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Branch Coverage</w:t>
            </w:r>
          </w:p>
        </w:tc>
      </w:tr>
      <w:tr>
        <w:trPr>
          <w:cantSplit/>
        </w:trPr>
        <w:tc>
          <w:tcPr>
            <w:tcW w:type="dxa" w:w="3679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Только валидация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82% (32/39)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75% (21/28)</w:t>
            </w:r>
          </w:p>
        </w:tc>
      </w:tr>
      <w:tr>
        <w:trPr>
          <w:cantSplit/>
        </w:trPr>
        <w:tc>
          <w:tcPr>
            <w:tcW w:type="dxa" w:w="3679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Полный набор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100% (57/57)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100% (32/32)</w:t>
            </w:r>
          </w:p>
        </w:tc>
      </w:tr>
    </w:tbl>
    <w:p>
      <w:pPr>
        <w:keepNext/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6152400" cy="34117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-uncovered-intermedi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3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2 — Непокрытые тарифные ветви промежуточного запуска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На рисунке красным выделены расчеты средних диапазонов расстояния, желтым — частично покрытые условия. Их проверяют случаи 10,01–100 км и 100,01–1000 км из TariffTests. В полном наборе включены все весовые диапазоны, Express, Overnight и хрупкость; затем по TDD добавлены страховка и ограничение цены.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Команды и воспроизводимость результатов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Основной способ измерения покрытия соответствует шагу 4 методички. Из корня репозитория выполняются следующие команды. Для HTML отчета берется файл Cobertura, созданный именно текущим запуском.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dotnet tool restore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dotnet test Lab2.sln --collect:"XPlat Code Coverage" \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--settings coverage.runsettings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dotnet tool run reportgenerator \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"-reports:Lab2.Tests/TestResults/**/coverage.cobertura.xml" \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"-targetdir:coveragereport" "-reporttypes:Html"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Coverlet измеряет всю сборку Lab2.Core без исключения строк или методов бизнес логики. Тестовая сборка не включается. Готовый HTML отчет находится в docs/coverage/final/index.html; XML измерений — в docs/evidence/coverage-final.cobertura.xml, результаты тестов — в final.trx. Для повторного запуска и проверки порога 90% предусмотрен scripts/Test-WithCoverage.ps1.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Дополнительно проверен альтернативный способ coverlet.msbuild. Он запускает те же тесты и контролирует пороги покрытия строк и ветвей через параметры Threshold=90 и ThresholdType=line,branch. В финальном HTML отчете непокрытых строк и ветвей нет; дописывание тестов для достижения 90% не требуется.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color w:val="000000"/>
          <w:sz w:val="28"/>
        </w:rPr>
        <w:t>4 Анализ качества тестов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Границы ввода — 0 и 5000 км, 0 и 1000 кг; тарифов — 10, 100, 1000 км; надбавок — 5, 20, 100 кг. Для страховки важны 0 и 5000 руб., для итоговой цены — 50000 руб. Соседние значения и сама граница выявляют ошибки &lt; и ≤.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Theory объединяют одинаковые проверки расстояний, весов, типов, хрупкости, страховки и предела. Каждый InlineData дает отдельный результат. Fact проверяют null, совместные надбавки, максимальную объявленную стоимость и повторное использование заявки.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Сложные условия с коротким замыканием покрыты всеми допустимыми исходами. Для страховки проверены четыре сочетания IsInsured и DeclaredValue &gt; 0. Для валидации — отрицательные, нулевые, допустимые и превышающие максимум значения. Предел проверен после тарифа, типа, хрупкости и страховки.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Соблюдены FIRST: тесты быстрые, изолированные, повторяемые и самопроверяемые; они написаны до реализации. Используются независимые заявки, постоянные данные и утверждения FluentAssertions. Повторный расчет сохраняет вход и дает одинаковую сумму.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100% покрытия строк и ветвей не доказывают отсутствие всех дефектов и не равны полному покрытию путей. Качество дополнительно поддерживают точные ожидаемые суммы, негативные случаи, границы и проверки порядка надбавок.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Заключение</w:t>
      </w:r>
    </w:p>
    <w:p>
      <w:pPr>
        <w:spacing w:after="0"/>
      </w:pPr>
      <w:r>
        <w:rPr>
          <w:rFonts w:ascii="Times New Roman" w:hAnsi="Times New Roman" w:eastAsia="Times New Roman" w:cs="Times New Roman"/>
          <w:color w:val="000000"/>
          <w:sz w:val="28"/>
        </w:rPr>
        <w:t>Реализована служба доставки по TDD: два проекта, матрица из 36 сценариев и 77 успешных случаев. HTML-отчет подтверждает 100% строк (57/57) и ветвей (32/32) при пороге 90%. Границы и точные суммы дополняют оценку качества.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both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ind w:firstLine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360" w:lineRule="auto" w:before="0"/>
      <w:ind w:firstLine="0"/>
      <w:contextualSpacing/>
      <w:jc w:val="both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120"/>
      <w:ind w:firstLine="0"/>
      <w:jc w:val="center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Автоматизированное модульное тестирование службы доставки</dc:title>
  <dc:subject>Лабораторная работа 2. Вариант 2. Отчёт 2</dc:subject>
  <dc:creator/>
  <cp:keywords>xUnit FluentAssertions Coverlet TDD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