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МИНИСТЕРСТВО НАУКИ И ВЫСШЕГО ОБРАЗОВАНИЯ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РОССИЙСКОЙ ФЕДЕРАЦИИ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федеральное государственное бюджетное образовательное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«Казанский национальный исследовательский технический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университет им. А.Н. Туполева-КАИ»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(КНИТУ-КАИ)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Колледж информационных технологий «КИТ»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Дисциплина: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«Поддержка и тестирование программных модулей»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ЛАБОРАТОРНАЯ РАБОТА № 2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на тему: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«Автоматизированное модульное тестирование»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Вариант 2. Предметная область: «Служба доставки»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spacing w:after="0" w:before="0" w:line="360" w:lineRule="auto"/>
        <w:ind w:right="0" w:left="0"/>
        <w:jc w:val="center"/>
        <w:rPr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tbl>
      <w:tblPr>
        <w:tblInd w:w="4536" w:type="dxa"/>
        <w:tblW w:w="52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66"/>
        <w:gridCol w:w="3543"/>
      </w:tblGrid>
      <w:tr>
        <w:trPr/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Обучающийся группы ____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  <w:tr>
        <w:trPr/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ФИО ________________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  <w:tr>
        <w:trPr/>
        <w:tc>
          <w:tcPr>
            <w:tcBorders/>
            <w:tcW w:w="1666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Проверил: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  <w:tc>
          <w:tcPr>
            <w:tcBorders/>
            <w:tcW w:w="3543" w:type="dxa"/>
            <w:vAlign w:val="center"/>
          </w:tcPr>
          <w:p>
            <w:pPr>
              <w:spacing w:after="0" w:before="0" w:line="360" w:lineRule="auto"/>
              <w:ind w:right="0" w:firstLine="0" w:left="0"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 xml:space="preserve">Тарасов Д.Е.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</w:rPr>
            </w:r>
          </w:p>
        </w:tc>
      </w:tr>
    </w:tbl>
    <w:p w14:paraId="02708D72">
      <w:pPr>
        <w:spacing/>
        <w:ind w:firstLine="0"/>
        <w:jc w:val="center"/>
        <w:rPr>
          <w:rFonts w:ascii="Times New Roman" w:hAnsi="Times New Roman" w:eastAsia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Казань 2026г.</w:t>
      </w:r>
      <w:r>
        <w:rPr>
          <w:rFonts w:ascii="Times New Roman" w:hAnsi="Times New Roman" w:eastAsia="Times New Roman" w:cs="Times New Roman"/>
          <w:color w:val="000000"/>
          <w:sz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1 Анализ исходного кода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В лабораторной работе рассматривается автоматизированная проверка расчета стоимости доставки на C#. Цель — применить xUnit и FluentAssertions, организовать разработку по TDD и оценить полноту выполнения кода средствами Coverlet. Требуется не менее 90% покрытия строк и ветвей. Итоговый результат: 77 успешных случаев и 100% по обеим метрикам.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Модуль Lab2.Core рассчитывает цену отдельной доставки методом DeliveryCalculator.CalculateCost. Его вход — объект DeliveryRequest с расстоянием и массой decimal, типом Standard, Express либо Overnight, флагами IsFragile и IsInsured и объявленной стоимостью DeclaredValue. Результатом служит сумма в рублях типа decimal.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Валидация допускает расстояние больше 0 и не больше 5000 км, вес больше 0 и не больше 1000 кг. Нарушение вызывает ArgumentException. Дополнительно проверяются null и неопределенное значение типа доставки. Эти проверки защищают модуль от некорректной заявки.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Базовый тариф определяется по расстоянию. Границы 10, 100 и 1000 км включаются в предшествующий диапазон. Таким образом, на самих границах стоимость непрерывна: 200, 2000 и 15500 руб. соответственно.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1 — Базовые тарифы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402"/>
        <w:gridCol w:w="6287"/>
      </w:tblGrid>
      <w:tr>
        <w:trPr>
          <w:cantSplit/>
          <w:tblHeader/>
        </w:trPr>
        <w:tc>
          <w:tcPr>
            <w:tcW w:type="dxa" w:w="3402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Расстояние d, км</w:t>
            </w:r>
          </w:p>
        </w:tc>
        <w:tc>
          <w:tcPr>
            <w:tcW w:type="dxa" w:w="6287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Тариф, руб.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0 &lt; d ≤ 10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&lt; d ≤ 100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 + 20 × (d − 10)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 &lt; d ≤ 1000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2000 + 15 × (d − 100)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 &lt; d ≤ 5000</w:t>
            </w:r>
          </w:p>
        </w:tc>
        <w:tc>
          <w:tcPr>
            <w:tcW w:type="dxa" w:w="6287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15500 + 10 × (d − 1000)</w:t>
            </w:r>
          </w:p>
        </w:tc>
      </w:tr>
    </w:tbl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Надбавки и порядок расчета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Надбавка за вес равна 0 руб. до 5 кг включительно, 100 руб. свыше 5 до 20 кг, 300 руб. свыше 20 до 100 кг и 500 руб. свыше 100 кг. Коэффициент доставки умножает только базовый тариф: Standard — 1, Express — 1,5, Overnight — 2,5.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умножения базового тарифа прибавляется надбавка за вес. Если груз хрупкий, полученная сумма увеличивается на 15%. Затем начисляется страховка: при IsInsured = true и DeclaredValue &gt; 0 берутся 2% объявленной стоимости, но не менее 100 руб. При отрицательной или нулевой стоимости страховка не начисляется. Отдельного исключения для нее методичка не требует.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завершение применяется ограничение 50000 руб. Пример: расстояние 50 км, вес 20 кг, Express, хрупкий и застрахованный груз стоимостью 10000 руб. Базовый тариф равен 1000 руб.; расчет: (1000 × 1,5 + 100) × 1,15 + 200 = 2040 руб. Страховая сумма добавляется после надбавки за хрупкость, в порядке пунктов задания.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Для денежных вычислений используется decimal. Округление результата не вводится, поскольку оно не указано в варианте. Например, для 10,001 км обычная доставка стоит 200,020 руб. Метод не изменяет входную заявку и не обращается к сети, файлам или базе данных.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Анализ правил позволил выделить валидацию, диапазоны расстояния и веса, выбор коэффициента, учет хрупкости, условие страхования, страховой минимум и окончательное ограничение. Неизвестный тип и null проверяются отдельно. Матрица из 36 сценариев ниже была подготовлена до написания бизнес-логики и связывает входные данные с ожидаемыми результатами.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Матрица тестовых сценариев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Один сценарий может включать несколько наборов InlineData. По умолчанию используются расстояние 5 км, вес 1 кг, Standard, без страховки и хрупкости. Все суммы приведены в рублях.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2 — Матрица тестовых сценариев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Заявка null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Расстояние -1 и 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DistanceKm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Расстояние 5000,01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DistanceKm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Вес -1 и 0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WeightKg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Вес 1000,01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WeightKg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Положительные расстояние и вес 0,01; допустимые максимумы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Расчёт без исключения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Базовый расчёт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Минимальная обычная доставка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9,99; 10; 10,01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200; 200,20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TC-09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99,99; 100; 100,01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1999,80; 2000; 2000,15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тарифа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999,99; 1000; 1000,01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15499,85; 15500; 15500,10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 и предел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2000; 5000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25500; 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4,99; 5; 5,01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200; 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19,99; 20; 20,01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300; 300; 500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веса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99,99; 100; 100,01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500; 500; 700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Макс. вес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Тип доставки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Standard; Express; Overnight, 50 км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1000; 1500; 2500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TC-19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Порядок операций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Express; Overnight, 50 км, 20 кг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1600; 2600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Защита ввода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Неопределённый тип enum (-1, 3)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ArgumentException</w:t>
              <w:br/>
              <w:t>Type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Standard, хрупкий груз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1265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 и тип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Express, хрупкий груз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1840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Хрупкость выключена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1600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выключена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-100; 0; 10000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Условие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включена, declared value -100 и 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Минимум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0,01 и 4999,99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TC-27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Граница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5000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TC-28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 свыше минимума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declared value 5000,01; 10000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300,0002; 400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TC-29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Порядок страховки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 км, 20 кг, Express, хрупкий, declared value 10000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2040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TC-30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Нижняя граница предела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2489999,50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49999,99</w:t>
            </w:r>
          </w:p>
        </w:tc>
      </w:tr>
    </w:tbl>
    <w:p>
      <w:pPr>
        <w:pStyle w:val="Caption"/>
        <w:keepNext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Продолжение таблицы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964"/>
        <w:gridCol w:w="1531"/>
        <w:gridCol w:w="4643"/>
        <w:gridCol w:w="2551"/>
      </w:tblGrid>
      <w:tr>
        <w:trPr>
          <w:cantSplit/>
          <w:tblHeader/>
        </w:trPr>
        <w:tc>
          <w:tcPr>
            <w:tcW w:type="dxa" w:w="96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ID</w:t>
            </w:r>
          </w:p>
        </w:tc>
        <w:tc>
          <w:tcPr>
            <w:tcW w:type="dxa" w:w="153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Категория</w:t>
            </w:r>
          </w:p>
        </w:tc>
        <w:tc>
          <w:tcPr>
            <w:tcW w:type="dxa" w:w="4643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Описание сценария</w:t>
            </w:r>
          </w:p>
        </w:tc>
        <w:tc>
          <w:tcPr>
            <w:tcW w:type="dxa" w:w="255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TC-31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Точная граница предела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2490000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TC-32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Выше предела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км, страховка 2490000,50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TC-33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Макс. ввод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 км, 1000 кг, Overnight, хрупкий, страховка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50000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TC-34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Точность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10,001 км, Standard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200,020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TC-35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Повторный расчёт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Повторный расчёт одной заявки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Одинаковая цена, заявка не изменена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TC-36</w:t>
            </w:r>
          </w:p>
        </w:tc>
        <w:tc>
          <w:tcPr>
            <w:tcW w:type="dxa" w:w="153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Флаги</w:t>
            </w:r>
          </w:p>
        </w:tc>
        <w:tc>
          <w:tcPr>
            <w:tcW w:type="dxa" w:w="4643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Оба значения IsFragile и IsInsured при declared value &gt; 0</w:t>
            </w:r>
          </w:p>
        </w:tc>
        <w:tc>
          <w:tcPr>
            <w:tcW w:type="dxa" w:w="255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200; 230; 400; 430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 Реализация Unit-тестов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В Lab2.sln созданы два проекта с именами из задания. Библиотека Lab2.Core содержит DeliveryCalculator, DeliveryRequest и DeliveryType. Проект Lab2.Tests ссылается на нее и подключает xUnit, Microsoft.NET.Test.Sdk, xunit.runner.visualstudio и FluentAssertions. Для покрытия предусмотрены coverlet.collector и coverlet.msbuild; их режимы описаны далее.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coverlet.collector используется по умолчанию для команды --collect. coverlet.msbuild включается свойством CoverageTool=msbuild для измерения покрытия через MSBuild. Пакеты выбираются по отдельности, чтобы одновременно не подключать две интеграции. ReportGenerator восстановлен из локального манифеста .config/dotnet-tools.json.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подготовки успешно выполнен пустой шаблонный тест. Затем он удален: итоговый набор содержит только проверки предметной области. Тесты разделены на ValidationTests, TariffTests, InsuranceTests и LimitAndQualityTests. TestRequests создает независимую заявку для каждого запуска.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Разработка по TDD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В TDD ожидания фиксировались раньше соответствующей реализации. Новые тесты последовательно выявляли отсутствие валидации, тарифов, страховки и предела цены. После подтвержденного Red добавлялся код для Green. Журналы TRX подтверждают провал утверждений, а не ошибки сборки. Завершающий Refactor выделил вспомогательные методы при сохранении успешного набора тестов.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3 — Результаты циклов TDD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056"/>
        <w:gridCol w:w="1984"/>
        <w:gridCol w:w="2381"/>
        <w:gridCol w:w="2268"/>
      </w:tblGrid>
      <w:tr>
        <w:trPr>
          <w:cantSplit/>
          <w:tblHeader/>
        </w:trPr>
        <w:tc>
          <w:tcPr>
            <w:tcW w:type="dxa" w:w="3056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Блок правил</w:t>
            </w:r>
          </w:p>
        </w:tc>
        <w:tc>
          <w:tcPr>
            <w:tcW w:type="dxa" w:w="1984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Всего тестов</w:t>
            </w:r>
          </w:p>
        </w:tc>
        <w:tc>
          <w:tcPr>
            <w:tcW w:type="dxa" w:w="2381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Провал на Red</w:t>
            </w:r>
          </w:p>
        </w:tc>
        <w:tc>
          <w:tcPr>
            <w:tcW w:type="dxa" w:w="2268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Успех на Green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Валидация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14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Тарифы и хрупкость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49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Страховка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64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64</w:t>
            </w:r>
          </w:p>
        </w:tc>
      </w:tr>
      <w:tr>
        <w:trPr>
          <w:cantSplit/>
        </w:trPr>
        <w:tc>
          <w:tcPr>
            <w:tcW w:type="dxa" w:w="3056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Ограничение цены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77</w:t>
            </w:r>
          </w:p>
        </w:tc>
        <w:tc>
          <w:tcPr>
            <w:tcW w:type="dxa" w:w="2381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77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Каждая стадия Red и Green сохранена отдельным коммитом. Полные журналы находятся в docs/evidence/tdd, сводка запусков — в tdd-runs.json. После Refactor успешно выполнены все 77 случаев.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Одиночный тест Fact и паттерн AAA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 тесте проверяется совместное применение типа, веса, хрупкости и страховки. Arrange создает калькулятор и заявку, Act выполняет расчет, Assert проверяет точно вычисленную сумму. Ниже приведен показательный фрагмент InsuranceTests; необязательное пояснение в утверждении опущено.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[Fact]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void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CalculateCost_WithAllSurcharges_AddsInsuranceLast()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{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ARRANGE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calculator = new DeliveryCalculator();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request = TestRequests.Create(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50m, 20m, DeliveryType.Express,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true, true, 10000m);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ACT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decimal result = calculator.CalculateCost(request);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ASSERT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result.Should().Be(2040m);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Такой тест обнаруживает ошибки порядка операций: умножение надбавки за вес на коэффициент типа или увеличение страховой суммы на 15%. Проверка только положительного результата эти ошибки не выявила бы.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Параметризованный тест Theory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Граничные данные объединены в один метод, потому что подготовка заявки, вызов и утверждение одинаковы. В полном тесте также проверяются границы 100 и 1000 км. В этом листинге показаны значения ниже, на границе и выше 10 км.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[Theory]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[InlineData(9.99, 200)]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[InlineData(10, 200)]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[InlineData(10.01, 200.20)]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void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CalculateCost_WithDistanceTariffBoundaries_ReturnsExpectedCost(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double distance, double expected)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{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ARRANGE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calculator = new DeliveryCalculator();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request = TestRequests.Create(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distanceKm: (decimal)distance);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ACT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decimal result = calculator.CalculateCost(request);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ASSERT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result.Should().Be((decimal)expected);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InlineData задает отдельный случай xUnit для каждой строки. Параметры преобразуются в decimal до расчета; в основном модуле расстояние и сумма представлены только этим типом.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Проверка исключений через FluentAssertions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Негативные сценарии проверяют точный вид ошибки и имя некорректного параметра. Вызов помещен в делегат Action, поэтому исключение проверяется в секции Assert и не прерывает тест до утверждения.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[Theory]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[InlineData(-1)]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[InlineData(0)]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[InlineData(5000.01)]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public void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CalculateCost_WithInvalidDistance_ThrowsArgumentException(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double distance)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{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ARRANGE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calculator = new DeliveryCalculator();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var request = TestRequests.Create(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distanceKm: (decimal)distance);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ACT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Action act = () =&gt; calculator.CalculateCost(request);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// ===== ASSERT =====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act.Should().Throw&lt;ArgumentException&gt;()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    .WithParameterName(nameof(DeliveryRequest.DistanceKm));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}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Аналогично проверяются вес, null и неизвестный тип доставки. Названия методов следуют схеме MethodName_Condition_ExpectedBehavior, а все тесты содержат требуемые комментарии ARRANGE, ACT и ASSERT.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3 Результаты измерения покрытия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Итоговое измерение проведено для всей библиотеки Lab2.Core. Все 77 случаев xUnit прошли успешно. Покрыто 57 строк из 57 и 32 ветви из 32, поэтому обе метрики равны 100%. Сводка ReportGenerator на рисунке подтверждает выполнение критерия Line Coverage ≥ 90% и Branch Coverage ≥ 90%.</w:t>
      </w:r>
    </w:p>
    <w:p>
      <w:pPr>
        <w:keepNext/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5760000" cy="370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summary-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1 — Итоговый HTML отчет ReportGenerator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Промежуточный анализ покрытия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После реализации тарифов выполнен отдельный промежуточный запуск только ValidationTests. Он показывает, почему одной группы валидации недостаточно. Сравниваются разные этапы и наборы тестов; в финальном коде дополнительно реализованы страховка, предел цены и рефакторинг.</w:t>
      </w:r>
    </w:p>
    <w:p>
      <w:pPr>
        <w:pStyle w:val="Caption"/>
        <w:keepNext/>
      </w:pPr>
      <w:r>
        <w:rPr>
          <w:rFonts w:ascii="Times New Roman" w:hAnsi="Times New Roman" w:eastAsia="Times New Roman" w:cs="Times New Roman"/>
          <w:color w:val="000000"/>
          <w:sz w:val="28"/>
        </w:rPr>
        <w:t>Таблица 4 — Промежуточное и итоговое покрытие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50" w:type="dxa"/>
          <w:bottom w:w="50" w:type="dxa"/>
          <w:left w:w="55" w:type="dxa"/>
          <w:right w:w="55" w:type="dxa"/>
        </w:tblCellMar>
      </w:tblPr>
      <w:tblGrid>
        <w:gridCol w:w="3679"/>
        <w:gridCol w:w="3005"/>
        <w:gridCol w:w="3005"/>
      </w:tblGrid>
      <w:tr>
        <w:trPr>
          <w:cantSplit/>
          <w:tblHeader/>
        </w:trPr>
        <w:tc>
          <w:tcPr>
            <w:tcW w:type="dxa" w:w="3679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Запуск</w:t>
            </w:r>
          </w:p>
        </w:tc>
        <w:tc>
          <w:tcPr>
            <w:tcW w:type="dxa" w:w="3005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Line Coverage</w:t>
            </w:r>
          </w:p>
        </w:tc>
        <w:tc>
          <w:tcPr>
            <w:tcW w:type="dxa" w:w="3005"/>
            <w:vAlign w:val="center"/>
            <w:shd w:fill="EFEFEF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Branch Coverage</w:t>
            </w:r>
          </w:p>
        </w:tc>
      </w:tr>
      <w:tr>
        <w:trPr>
          <w:cantSplit/>
        </w:trPr>
        <w:tc>
          <w:tcPr>
            <w:tcW w:type="dxa" w:w="3679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Только валидация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82% (32/39)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75% (21/28)</w:t>
            </w:r>
          </w:p>
        </w:tc>
      </w:tr>
      <w:tr>
        <w:trPr>
          <w:cantSplit/>
        </w:trPr>
        <w:tc>
          <w:tcPr>
            <w:tcW w:type="dxa" w:w="3679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Полный набор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100% (57/57)</w:t>
            </w:r>
          </w:p>
        </w:tc>
        <w:tc>
          <w:tcPr>
            <w:tcW w:type="dxa" w:w="3005"/>
            <w:vAlign w:val="center"/>
          </w:tcPr>
          <w:p>
            <w:pPr>
              <w:spacing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100% (32/32)</w:t>
            </w:r>
          </w:p>
        </w:tc>
      </w:tr>
    </w:tbl>
    <w:p>
      <w:pPr>
        <w:keepNext/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28"/>
        </w:rPr>
        <w:drawing>
          <wp:inline xmlns:a="http://schemas.openxmlformats.org/drawingml/2006/main" xmlns:pic="http://schemas.openxmlformats.org/drawingml/2006/picture">
            <wp:extent cx="6152400" cy="3411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-uncovered-intermedi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400" cy="3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8"/>
        </w:rPr>
        <w:t>Рисунок 2 — Непокрытые тарифные ветви промежуточного запуска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На рисунке красным выделены расчеты средних диапазонов расстояния, желтым — частично покрытые условия. Их проверяют случаи 10,01–100 км и 100,01–1000 км из TariffTests. В полном наборе включены все весовые диапазоны, Express, Overnight и хрупкость; затем по TDD добавлены страховка и ограничение цены.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Команды и воспроизводимость результатов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Основной способ измерения покрытия соответствует шагу 4 методички. Из корня репозитория выполняются следующие команды. Для HTML отчета берется файл Cobertura, созданный именно текущим запуском.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dotnet tool restore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dotnet test Lab2.sln --collect:"XPlat Code Coverage" \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--settings coverage.runsettings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>dotnet tool run reportgenerator \</w:t>
      </w:r>
    </w:p>
    <w:p>
      <w:pPr>
        <w:keepNext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"-reports:Lab2.Tests/TestResults/**/coverage.cobertura.xml" \</w:t>
      </w:r>
    </w:p>
    <w:p>
      <w:pPr>
        <w:keepNext w:val="0"/>
        <w:keepLines/>
        <w:spacing w:line="360" w:lineRule="auto"/>
        <w:ind w:firstLine="0"/>
        <w:jc w:val="left"/>
      </w:pPr>
      <w:r>
        <w:rPr>
          <w:rFonts w:ascii="Courier New" w:hAnsi="Courier New" w:eastAsia="Courier New" w:cs="Courier New"/>
          <w:color w:val="000000"/>
          <w:sz w:val="24"/>
        </w:rPr>
        <w:t xml:space="preserve">    "-targetdir:coveragereport" "-reporttypes:Html"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Coverlet измеряет всю сборку Lab2.Core без исключения строк или методов бизнес логики. Тестовая сборка не включается. Готовый HTML отчет находится в docs/coverage/final/index.html; XML измерений — в docs/evidence/coverage-final.cobertura.xml, результаты тестов — в final.trx. Для повторного запуска и проверки порога 90% предусмотрен scripts/Test-WithCoverage.ps1.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Дополнительно проверен альтернативный способ coverlet.msbuild. Он запускает те же тесты и контролирует пороги покрытия строк и ветвей через параметры Threshold=90 и ThresholdType=line,branch. В финальном HTML отчете непокрытых строк и ветвей нет; дописывание тестов для достижения 90% не требуется.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4 Анализ качества тестов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Пороги валидации: 0 и 5000 км, 0 и 1000 кг; тарифов: 10, 100, 1000 км; веса: 5, 20, 100 кг. Страховка имеет пороги 0 и 5000 руб., цена — 50000 руб. Значения по обе стороны и на границе проверяют выбор нужного интервала.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В Theory одна схема AAA проверяет множество расстояний, весов, типов, флагов, страховых сумм и значений около предела. InlineData задает независимые случаи. Null, максимальный decimal, совместные надбавки и повторяемость проверяются отдельными Fact.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Сложные условия с коротким замыканием покрыты всеми допустимыми исходами. Для страховки проверены четыре сочетания IsInsured и DeclaredValue &gt; 0. Для валидации — отрицательные, нулевые, допустимые и превышающие максимум значения. Предел проверен после тарифа, типа, хрупкости и страховки.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Соблюдены FIRST: тесты быстрые, изолированные, повторяемые и самопроверяемые; они написаны до реализации. Используются независимые заявки, постоянные данные и утверждения FluentAssertions. Повторный расчет сохраняет вход и дает одинаковую сумму.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100% покрытия строк и ветвей не доказывают отсутствие всех дефектов и не равны полному покрытию путей. Качество дополнительно поддерживают точные ожидаемые суммы, негативные случаи, границы и проверки порядка надбавок.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sz w:val="28"/>
        </w:rPr>
        <w:t>Заключение</w:t>
      </w:r>
    </w:p>
    <w:p>
      <w:pPr>
        <w:spacing w:after="0"/>
      </w:pPr>
      <w:r>
        <w:rPr>
          <w:rFonts w:ascii="Times New Roman" w:hAnsi="Times New Roman" w:eastAsia="Times New Roman" w:cs="Times New Roman"/>
          <w:color w:val="000000"/>
          <w:sz w:val="28"/>
        </w:rPr>
        <w:t>Расчет доставки выполнен по циклу Red–Green–Refactor. Созданы два проекта, 36 сценариев и 77 успешных случаев. Достигнуто 100% строк (57/57) и ветвей (32/32) при пороге 90%. HTML-отчет и журналы подтверждают результаты.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both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ind w:firstLine="0"/>
      <w:jc w:val="both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360" w:lineRule="auto" w:before="0"/>
      <w:ind w:firstLine="0"/>
      <w:contextualSpacing/>
      <w:jc w:val="both"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120"/>
      <w:ind w:firstLine="0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Автоматизированное модульное тестирование службы доставки</dc:title>
  <dc:subject>Лабораторная работа 2. Вариант 2. Отчёт 3</dc:subject>
  <dc:creator/>
  <cp:keywords>xUnit FluentAssertions Coverlet TDD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