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Наименование учебного заведения</w:t>
        <w:br/>
        <w:t>________________________________________</w:t>
      </w:r>
    </w:p>
    <w:p>
      <w:pPr>
        <w:spacing w:before="0" w:after="104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Кафедра или отделение</w:t>
        <w:br/>
        <w:t>________________________________________</w:t>
      </w:r>
    </w:p>
    <w:p>
      <w:pPr>
        <w:pStyle w:val="Title"/>
        <w:spacing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  <w:color w:val="000000"/>
        </w:rPr>
        <w:t>ОТЧЕТ</w:t>
      </w:r>
    </w:p>
    <w:p>
      <w:pPr>
        <w:spacing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по лабораторной работе 2</w:t>
      </w:r>
    </w:p>
    <w:p>
      <w:pPr>
        <w:spacing w:before="0" w:after="28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  <w:color w:val="000000"/>
        </w:rPr>
        <w:t>Автоматизированное модульное</w:t>
        <w:br/>
        <w:t>тестирование службы доставки</w:t>
      </w:r>
    </w:p>
    <w:p>
      <w:pPr>
        <w:spacing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Дисциплина ______________________________</w:t>
      </w:r>
    </w:p>
    <w:p>
      <w:pPr>
        <w:spacing w:before="0" w:after="72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Вариант 2</w:t>
      </w:r>
    </w:p>
    <w:p>
      <w:pPr>
        <w:spacing w:after="0"/>
        <w:ind w:firstLine="0" w:left="3969"/>
        <w:jc w:val="left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Выполнил студент ________________________</w:t>
        <w:br/>
        <w:t>Группа __________________________________</w:t>
        <w:br/>
        <w:t>Проверил ________________________________</w:t>
      </w:r>
    </w:p>
    <w:p>
      <w:pPr>
        <w:spacing w:before="80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Город __________________</w:t>
        <w:br/>
        <w:t>2026</w:t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8"/>
          <w:color w:val="000000"/>
        </w:rPr>
        <w:t>1 Анализ исходного кода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Цель работы — освоить модульное тестирование бизнес логики на C# с применением xUnit и FluentAssertions, измерить покрытие строк и ветвей с помощью Coverlet и достичь не менее 90% по обеим метрикам. Исходный код службы доставки разработан самостоятельно по TDD. Итоговый набор из 77 тестовых случаев проходит, покрытие строк и ветвей составляет 100%.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Объект тестирования — метод CalculateCost класса DeliveryCalculator из проекта Lab2.Core. На вход передается DeliveryRequest: расстояние DistanceKm и вес WeightKg типа decimal, тип Standard, Express или Overnight, флаги IsFragile и IsInsured, объявленная стоимость DeclaredValue типа decimal. Метод возвращает стоимость доставки в рублях.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Валидация допускает расстояние больше 0 и не больше 5000 км, вес больше 0 и не больше 1000 кг. Нарушение вызывает ArgumentException. Дополнительно проверяются null и неопределенное значение типа доставки. Эти проверки защищают модуль от некорректной заявки.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Базовый тариф определяется по расстоянию. Границы 10, 100 и 1000 км включаются в предшествующий диапазон. Таким образом, на самих границах стоимость непрерывна: 200, 2000 и 15500 руб. соответственно.</w:t>
      </w:r>
    </w:p>
    <w:p>
      <w:pPr>
        <w:pStyle w:val="Caption"/>
        <w:keepNext/>
      </w:pPr>
      <w:r>
        <w:rPr>
          <w:rFonts w:ascii="Times New Roman" w:hAnsi="Times New Roman" w:eastAsia="Times New Roman" w:cs="Times New Roman"/>
          <w:sz w:val="28"/>
          <w:color w:val="000000"/>
        </w:rPr>
        <w:t>Таблица 1 — Базовые тарифы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50" w:type="dxa"/>
          <w:bottom w:w="50" w:type="dxa"/>
          <w:left w:w="55" w:type="dxa"/>
          <w:right w:w="55" w:type="dxa"/>
        </w:tblCellMar>
      </w:tblPr>
      <w:tblGrid>
        <w:gridCol w:w="3402"/>
        <w:gridCol w:w="6287"/>
      </w:tblGrid>
      <w:tr>
        <w:trPr>
          <w:cantSplit/>
          <w:tblHeader/>
        </w:trPr>
        <w:tc>
          <w:tcPr>
            <w:tcW w:type="dxa" w:w="3402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Расстояние d, км</w:t>
            </w:r>
          </w:p>
        </w:tc>
        <w:tc>
          <w:tcPr>
            <w:tcW w:type="dxa" w:w="6287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Тариф, руб.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0 &lt; d ≤ 10</w:t>
            </w:r>
          </w:p>
        </w:tc>
        <w:tc>
          <w:tcPr>
            <w:tcW w:type="dxa" w:w="6287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200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10 &lt; d ≤ 100</w:t>
            </w:r>
          </w:p>
        </w:tc>
        <w:tc>
          <w:tcPr>
            <w:tcW w:type="dxa" w:w="6287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200 + 20 × (d − 10)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100 &lt; d ≤ 1000</w:t>
            </w:r>
          </w:p>
        </w:tc>
        <w:tc>
          <w:tcPr>
            <w:tcW w:type="dxa" w:w="6287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2000 + 15 × (d − 100)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1000 &lt; d ≤ 5000</w:t>
            </w:r>
          </w:p>
        </w:tc>
        <w:tc>
          <w:tcPr>
            <w:tcW w:type="dxa" w:w="6287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15500 + 10 × (d − 1000)</w:t>
            </w:r>
          </w:p>
        </w:tc>
      </w:tr>
    </w:tbl>
    <w:p>
      <w:pPr>
        <w:pStyle w:val="Heading2"/>
        <w:pageBreakBefore/>
      </w:pPr>
      <w:r>
        <w:rPr>
          <w:rFonts w:ascii="Times New Roman" w:hAnsi="Times New Roman" w:eastAsia="Times New Roman" w:cs="Times New Roman"/>
          <w:sz w:val="28"/>
          <w:color w:val="000000"/>
        </w:rPr>
        <w:t>Надбавки и порядок расчета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Надбавка за вес равна 0 руб. до 5 кг включительно, 100 руб. свыше 5 до 20 кг, 300 руб. свыше 20 до 100 кг и 500 руб. свыше 100 кг. Коэффициент доставки умножает только базовый тариф: Standard — 1, Express — 1,5, Overnight — 2,5.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После умножения базового тарифа прибавляется надбавка за вес. Если груз хрупкий, полученная сумма увеличивается на 15%. Затем начисляется страховка: при IsInsured = true и DeclaredValue &gt; 0 берутся 2% объявленной стоимости, но не менее 100 руб. При отрицательной или нулевой стоимости страховка не начисляется. Отдельного исключения для нее методичка не требует.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В завершение применяется ограничение 50000 руб. Пример: расстояние 50 км, вес 20 кг, Express, хрупкий и застрахованный груз стоимостью 10000 руб. Базовый тариф равен 1000 руб.; расчет: (1000 × 1,5 + 100) × 1,15 + 200 = 2040 руб. Страховая сумма добавляется после надбавки за хрупкость, в порядке пунктов задания.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Для денежных вычислений используется decimal. Округление результата не вводится, поскольку оно не указано в варианте. Например, для 10,001 км обычная доставка стоит 200,020 руб. Метод не изменяет входную заявку и не обращается к сети, файлам или базе данных.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В исходном коде выделены ветви валидации, четыре диапазона расстояния, четыре диапазона веса, три типа доставки и отказ для неизвестного типа, две ветви хрупкости, условие страховки и обе стороны ее минимальной суммы. Предел проверяется значениями ниже, на границе и выше 50000 руб. Матрица сценариев составлена до реализации модуля и приведена далее.</w:t>
      </w:r>
    </w:p>
    <w:p>
      <w:pPr>
        <w:pStyle w:val="Heading2"/>
        <w:pageBreakBefore/>
      </w:pPr>
      <w:r>
        <w:rPr>
          <w:rFonts w:ascii="Times New Roman" w:hAnsi="Times New Roman" w:eastAsia="Times New Roman" w:cs="Times New Roman"/>
          <w:sz w:val="28"/>
          <w:color w:val="000000"/>
        </w:rPr>
        <w:t>Матрица тестовых сценариев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Один сценарий может включать несколько наборов InlineData. По умолчанию используются расстояние 5 км, вес 1 кг, Standard, без страховки и хрупкости. Все суммы приведены в рублях.</w:t>
      </w:r>
    </w:p>
    <w:p>
      <w:pPr>
        <w:pStyle w:val="Caption"/>
        <w:keepNext/>
      </w:pPr>
      <w:r>
        <w:rPr>
          <w:rFonts w:ascii="Times New Roman" w:hAnsi="Times New Roman" w:eastAsia="Times New Roman" w:cs="Times New Roman"/>
          <w:sz w:val="28"/>
          <w:color w:val="000000"/>
        </w:rPr>
        <w:t>Таблица 2 — Матрица тестовых сценариев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50" w:type="dxa"/>
          <w:bottom w:w="50" w:type="dxa"/>
          <w:left w:w="55" w:type="dxa"/>
          <w:right w:w="55" w:type="dxa"/>
        </w:tblCellMar>
      </w:tblPr>
      <w:tblGrid>
        <w:gridCol w:w="964"/>
        <w:gridCol w:w="1531"/>
        <w:gridCol w:w="4643"/>
        <w:gridCol w:w="2551"/>
      </w:tblGrid>
      <w:tr>
        <w:trPr>
          <w:cantSplit/>
          <w:tblHeader/>
        </w:trPr>
        <w:tc>
          <w:tcPr>
            <w:tcW w:type="dxa" w:w="964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ID</w:t>
            </w:r>
          </w:p>
        </w:tc>
        <w:tc>
          <w:tcPr>
            <w:tcW w:type="dxa" w:w="1531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Категория</w:t>
            </w:r>
          </w:p>
        </w:tc>
        <w:tc>
          <w:tcPr>
            <w:tcW w:type="dxa" w:w="4643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Описание сценария</w:t>
            </w:r>
          </w:p>
        </w:tc>
        <w:tc>
          <w:tcPr>
            <w:tcW w:type="dxa" w:w="2551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TC-01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Валидация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Заявка null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ArgumentException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TC-02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Валидация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Расстояние -1 и 0 км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ArgumentException</w:t>
              <w:br/>
              <w:t>DistanceKm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TC-03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Валидация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Расстояние 5000,01 км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ArgumentException</w:t>
              <w:br/>
              <w:t>DistanceKm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TC-04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Валидация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Вес -1 и 0 кг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ArgumentException</w:t>
              <w:br/>
              <w:t>WeightKg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TC-05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Валидация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Вес 1000,01 кг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ArgumentException</w:t>
              <w:br/>
              <w:t>WeightKg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TC-06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Валидация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Положительные расстояние и вес 0,01; допустимые максимумы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Расчёт без исключения</w:t>
            </w:r>
          </w:p>
        </w:tc>
      </w:tr>
    </w:tbl>
    <w:p>
      <w:pPr>
        <w:pStyle w:val="Caption"/>
        <w:keepNext/>
        <w:pageBreakBefore/>
      </w:pPr>
      <w:r>
        <w:rPr>
          <w:rFonts w:ascii="Times New Roman" w:hAnsi="Times New Roman" w:eastAsia="Times New Roman" w:cs="Times New Roman"/>
          <w:sz w:val="28"/>
          <w:color w:val="000000"/>
        </w:rPr>
        <w:t>Продолжение таблицы 2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50" w:type="dxa"/>
          <w:bottom w:w="50" w:type="dxa"/>
          <w:left w:w="55" w:type="dxa"/>
          <w:right w:w="55" w:type="dxa"/>
        </w:tblCellMar>
      </w:tblPr>
      <w:tblGrid>
        <w:gridCol w:w="964"/>
        <w:gridCol w:w="1531"/>
        <w:gridCol w:w="4643"/>
        <w:gridCol w:w="2551"/>
      </w:tblGrid>
      <w:tr>
        <w:trPr>
          <w:cantSplit/>
          <w:tblHeader/>
        </w:trPr>
        <w:tc>
          <w:tcPr>
            <w:tcW w:type="dxa" w:w="964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ID</w:t>
            </w:r>
          </w:p>
        </w:tc>
        <w:tc>
          <w:tcPr>
            <w:tcW w:type="dxa" w:w="1531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Категория</w:t>
            </w:r>
          </w:p>
        </w:tc>
        <w:tc>
          <w:tcPr>
            <w:tcW w:type="dxa" w:w="4643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Описание сценария</w:t>
            </w:r>
          </w:p>
        </w:tc>
        <w:tc>
          <w:tcPr>
            <w:tcW w:type="dxa" w:w="2551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TC-07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Базовый расчёт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Минимальная обычная доставка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TC-08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Граница тарифа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9,99; 10; 10,01 км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200; 200; 200,20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TC-09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Тариф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50 км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1000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TC-10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Граница тарифа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99,99; 100; 100,01 км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1999,80; 2000; 2000,15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TC-11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Тариф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500 км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8000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TC-12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Граница тарифа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999,99; 1000; 1000,01 км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15499,85; 15500; 15500,10</w:t>
            </w:r>
          </w:p>
        </w:tc>
      </w:tr>
    </w:tbl>
    <w:p>
      <w:pPr>
        <w:pStyle w:val="Caption"/>
        <w:keepNext/>
        <w:pageBreakBefore/>
      </w:pPr>
      <w:r>
        <w:rPr>
          <w:rFonts w:ascii="Times New Roman" w:hAnsi="Times New Roman" w:eastAsia="Times New Roman" w:cs="Times New Roman"/>
          <w:sz w:val="28"/>
          <w:color w:val="000000"/>
        </w:rPr>
        <w:t>Продолжение таблицы 2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50" w:type="dxa"/>
          <w:bottom w:w="50" w:type="dxa"/>
          <w:left w:w="55" w:type="dxa"/>
          <w:right w:w="55" w:type="dxa"/>
        </w:tblCellMar>
      </w:tblPr>
      <w:tblGrid>
        <w:gridCol w:w="964"/>
        <w:gridCol w:w="1531"/>
        <w:gridCol w:w="4643"/>
        <w:gridCol w:w="2551"/>
      </w:tblGrid>
      <w:tr>
        <w:trPr>
          <w:cantSplit/>
          <w:tblHeader/>
        </w:trPr>
        <w:tc>
          <w:tcPr>
            <w:tcW w:type="dxa" w:w="964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ID</w:t>
            </w:r>
          </w:p>
        </w:tc>
        <w:tc>
          <w:tcPr>
            <w:tcW w:type="dxa" w:w="1531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Категория</w:t>
            </w:r>
          </w:p>
        </w:tc>
        <w:tc>
          <w:tcPr>
            <w:tcW w:type="dxa" w:w="4643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Описание сценария</w:t>
            </w:r>
          </w:p>
        </w:tc>
        <w:tc>
          <w:tcPr>
            <w:tcW w:type="dxa" w:w="2551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TC-13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Тариф и предел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2000; 5000 км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25500; 50000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TC-14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Граница веса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4,99; 5; 5,01 кг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200; 200; 300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TC-15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Граница веса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19,99; 20; 20,01 кг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300; 300; 500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TC-16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Граница веса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99,99; 100; 100,01 кг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500; 500; 700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TC-17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Макс. вес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1000 кг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700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TC-18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Тип доставки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Standard; Express; Overnight, 50 км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1000; 1500; 2500</w:t>
            </w:r>
          </w:p>
        </w:tc>
      </w:tr>
    </w:tbl>
    <w:p>
      <w:pPr>
        <w:pStyle w:val="Caption"/>
        <w:keepNext/>
        <w:pageBreakBefore/>
      </w:pPr>
      <w:r>
        <w:rPr>
          <w:rFonts w:ascii="Times New Roman" w:hAnsi="Times New Roman" w:eastAsia="Times New Roman" w:cs="Times New Roman"/>
          <w:sz w:val="28"/>
          <w:color w:val="000000"/>
        </w:rPr>
        <w:t>Продолжение таблицы 2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50" w:type="dxa"/>
          <w:bottom w:w="50" w:type="dxa"/>
          <w:left w:w="55" w:type="dxa"/>
          <w:right w:w="55" w:type="dxa"/>
        </w:tblCellMar>
      </w:tblPr>
      <w:tblGrid>
        <w:gridCol w:w="964"/>
        <w:gridCol w:w="1531"/>
        <w:gridCol w:w="4643"/>
        <w:gridCol w:w="2551"/>
      </w:tblGrid>
      <w:tr>
        <w:trPr>
          <w:cantSplit/>
          <w:tblHeader/>
        </w:trPr>
        <w:tc>
          <w:tcPr>
            <w:tcW w:type="dxa" w:w="964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ID</w:t>
            </w:r>
          </w:p>
        </w:tc>
        <w:tc>
          <w:tcPr>
            <w:tcW w:type="dxa" w:w="1531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Категория</w:t>
            </w:r>
          </w:p>
        </w:tc>
        <w:tc>
          <w:tcPr>
            <w:tcW w:type="dxa" w:w="4643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Описание сценария</w:t>
            </w:r>
          </w:p>
        </w:tc>
        <w:tc>
          <w:tcPr>
            <w:tcW w:type="dxa" w:w="2551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TC-19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Порядок операций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Express; Overnight, 50 км, 20 кг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1600; 2600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TC-20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Защита ввода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Неопределённый тип enum (-1, 3)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ArgumentException</w:t>
              <w:br/>
              <w:t>Type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TC-21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Хрупкость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50 км, 20 кг, Standard, хрупкий груз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1265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TC-22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Хрупкость и тип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50 км, 20 кг, Express, хрупкий груз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1840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TC-23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Хрупкость выключена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50 км, 20 кг, Express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1600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TC-24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Страховка выключена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declared value -100; 0; 10000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200</w:t>
            </w:r>
          </w:p>
        </w:tc>
      </w:tr>
    </w:tbl>
    <w:p>
      <w:pPr>
        <w:pStyle w:val="Caption"/>
        <w:keepNext/>
        <w:pageBreakBefore/>
      </w:pPr>
      <w:r>
        <w:rPr>
          <w:rFonts w:ascii="Times New Roman" w:hAnsi="Times New Roman" w:eastAsia="Times New Roman" w:cs="Times New Roman"/>
          <w:sz w:val="28"/>
          <w:color w:val="000000"/>
        </w:rPr>
        <w:t>Продолжение таблицы 2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50" w:type="dxa"/>
          <w:bottom w:w="50" w:type="dxa"/>
          <w:left w:w="55" w:type="dxa"/>
          <w:right w:w="55" w:type="dxa"/>
        </w:tblCellMar>
      </w:tblPr>
      <w:tblGrid>
        <w:gridCol w:w="964"/>
        <w:gridCol w:w="1531"/>
        <w:gridCol w:w="4643"/>
        <w:gridCol w:w="2551"/>
      </w:tblGrid>
      <w:tr>
        <w:trPr>
          <w:cantSplit/>
          <w:tblHeader/>
        </w:trPr>
        <w:tc>
          <w:tcPr>
            <w:tcW w:type="dxa" w:w="964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ID</w:t>
            </w:r>
          </w:p>
        </w:tc>
        <w:tc>
          <w:tcPr>
            <w:tcW w:type="dxa" w:w="1531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Категория</w:t>
            </w:r>
          </w:p>
        </w:tc>
        <w:tc>
          <w:tcPr>
            <w:tcW w:type="dxa" w:w="4643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Описание сценария</w:t>
            </w:r>
          </w:p>
        </w:tc>
        <w:tc>
          <w:tcPr>
            <w:tcW w:type="dxa" w:w="2551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TC-25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Условие страховки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Страховка включена, declared value -100 и 0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TC-26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Минимум страховки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declared value 0,01 и 4999,99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300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TC-27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Граница страховки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declared value 5000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300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TC-28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Страховка свыше минимума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declared value 5000,01; 10000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300,0002; 400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TC-29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Порядок страховки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50 км, 20 кг, Express, хрупкий, declared value 10000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2040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TC-30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Нижняя граница предела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10 км, страховка 2489999,50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49999,99</w:t>
            </w:r>
          </w:p>
        </w:tc>
      </w:tr>
    </w:tbl>
    <w:p>
      <w:pPr>
        <w:pStyle w:val="Caption"/>
        <w:keepNext/>
        <w:pageBreakBefore/>
      </w:pPr>
      <w:r>
        <w:rPr>
          <w:rFonts w:ascii="Times New Roman" w:hAnsi="Times New Roman" w:eastAsia="Times New Roman" w:cs="Times New Roman"/>
          <w:sz w:val="28"/>
          <w:color w:val="000000"/>
        </w:rPr>
        <w:t>Продолжение таблицы 2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50" w:type="dxa"/>
          <w:bottom w:w="50" w:type="dxa"/>
          <w:left w:w="55" w:type="dxa"/>
          <w:right w:w="55" w:type="dxa"/>
        </w:tblCellMar>
      </w:tblPr>
      <w:tblGrid>
        <w:gridCol w:w="964"/>
        <w:gridCol w:w="1531"/>
        <w:gridCol w:w="4643"/>
        <w:gridCol w:w="2551"/>
      </w:tblGrid>
      <w:tr>
        <w:trPr>
          <w:cantSplit/>
          <w:tblHeader/>
        </w:trPr>
        <w:tc>
          <w:tcPr>
            <w:tcW w:type="dxa" w:w="964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ID</w:t>
            </w:r>
          </w:p>
        </w:tc>
        <w:tc>
          <w:tcPr>
            <w:tcW w:type="dxa" w:w="1531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Категория</w:t>
            </w:r>
          </w:p>
        </w:tc>
        <w:tc>
          <w:tcPr>
            <w:tcW w:type="dxa" w:w="4643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Описание сценария</w:t>
            </w:r>
          </w:p>
        </w:tc>
        <w:tc>
          <w:tcPr>
            <w:tcW w:type="dxa" w:w="2551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TC-31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Точная граница предела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10 км, страховка 2490000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50000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TC-32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Выше предела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10 км, страховка 2490000,50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50000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TC-33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Макс. ввод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5000 км, 1000 кг, Overnight, хрупкий, страховка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50000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TC-34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Точность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10,001 км, Standard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200,020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TC-35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Повторный расчёт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Повторный расчёт одной заявки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Одинаковая цена, заявка не изменена</w:t>
            </w:r>
          </w:p>
        </w:tc>
      </w:tr>
      <w:tr>
        <w:trPr>
          <w:cantSplit/>
        </w:trPr>
        <w:tc>
          <w:tcPr>
            <w:tcW w:type="dxa" w:w="96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TC-36</w:t>
            </w:r>
          </w:p>
        </w:tc>
        <w:tc>
          <w:tcPr>
            <w:tcW w:type="dxa" w:w="153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Флаги</w:t>
            </w:r>
          </w:p>
        </w:tc>
        <w:tc>
          <w:tcPr>
            <w:tcW w:type="dxa" w:w="4643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Оба значения IsFragile и IsInsured при declared value &gt; 0</w:t>
            </w:r>
          </w:p>
        </w:tc>
        <w:tc>
          <w:tcPr>
            <w:tcW w:type="dxa" w:w="255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200; 230; 400; 430</w:t>
            </w:r>
          </w:p>
        </w:tc>
      </w:tr>
    </w:tbl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8"/>
          <w:color w:val="000000"/>
        </w:rPr>
        <w:t>2 Реализация Unit тестов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Решение Lab2.sln содержит ровно два проекта. Lab2.Core — библиотека классов с DeliveryRequest, DeliveryType и DeliveryCalculator. Lab2.Tests — тестовый проект xUnit со ссылкой на библиотеку. Подключены Microsoft.NET.Test.Sdk, xunit, xunit.runner.visualstudio, FluentAssertions и два предусмотренных методичкой способа интеграции Coverlet.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coverlet.collector используется по умолчанию для команды --collect. coverlet.msbuild включается свойством CoverageTool=msbuild для измерения покрытия через MSBuild. Пакеты выбираются по отдельности, чтобы одновременно не подключать две интеграции. ReportGenerator восстановлен из локального манифеста .config/dotnet-tools.json.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После подготовки успешно выполнен пустой шаблонный тест. Затем он удален: итоговый набор содержит только проверки предметной области. Тесты разделены на ValidationTests, TariffTests, InsuranceTests и LimitAndQualityTests. TestRequests создает независимую заявку для каждого запуска.</w:t>
      </w:r>
    </w:p>
    <w:p>
      <w:pPr>
        <w:pStyle w:val="Heading2"/>
        <w:pageBreakBefore/>
      </w:pPr>
      <w:r>
        <w:rPr>
          <w:rFonts w:ascii="Times New Roman" w:hAnsi="Times New Roman" w:eastAsia="Times New Roman" w:cs="Times New Roman"/>
          <w:sz w:val="28"/>
          <w:color w:val="000000"/>
        </w:rPr>
        <w:t>Разработка по TDD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Для каждого блока сначала добавлены тесты и подтвержден их провал на еще отсутствующей логике. Ошибка сборки не засчитывалась как Red: для каждого запуска проверен файл результатов TRX. Затем добавлена минимальная реализация и подтвержден Green. Последним этапом выделены вспомогательные методы без изменения поведения, после чего все тесты снова прошли.</w:t>
      </w:r>
    </w:p>
    <w:p>
      <w:pPr>
        <w:pStyle w:val="Caption"/>
        <w:keepNext/>
      </w:pPr>
      <w:r>
        <w:rPr>
          <w:rFonts w:ascii="Times New Roman" w:hAnsi="Times New Roman" w:eastAsia="Times New Roman" w:cs="Times New Roman"/>
          <w:sz w:val="28"/>
          <w:color w:val="000000"/>
        </w:rPr>
        <w:t>Таблица 3 — Результаты циклов TDD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50" w:type="dxa"/>
          <w:bottom w:w="50" w:type="dxa"/>
          <w:left w:w="55" w:type="dxa"/>
          <w:right w:w="55" w:type="dxa"/>
        </w:tblCellMar>
      </w:tblPr>
      <w:tblGrid>
        <w:gridCol w:w="3056"/>
        <w:gridCol w:w="1984"/>
        <w:gridCol w:w="2381"/>
        <w:gridCol w:w="2268"/>
      </w:tblGrid>
      <w:tr>
        <w:trPr>
          <w:cantSplit/>
          <w:tblHeader/>
        </w:trPr>
        <w:tc>
          <w:tcPr>
            <w:tcW w:type="dxa" w:w="3056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Блок правил</w:t>
            </w:r>
          </w:p>
        </w:tc>
        <w:tc>
          <w:tcPr>
            <w:tcW w:type="dxa" w:w="1984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Всего тестов</w:t>
            </w:r>
          </w:p>
        </w:tc>
        <w:tc>
          <w:tcPr>
            <w:tcW w:type="dxa" w:w="2381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Провал на Red</w:t>
            </w:r>
          </w:p>
        </w:tc>
        <w:tc>
          <w:tcPr>
            <w:tcW w:type="dxa" w:w="2268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Успех на Green</w:t>
            </w:r>
          </w:p>
        </w:tc>
      </w:tr>
      <w:tr>
        <w:trPr>
          <w:cantSplit/>
        </w:trPr>
        <w:tc>
          <w:tcPr>
            <w:tcW w:type="dxa" w:w="3056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Валидация</w:t>
            </w:r>
          </w:p>
        </w:tc>
        <w:tc>
          <w:tcPr>
            <w:tcW w:type="dxa" w:w="198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14</w:t>
            </w:r>
          </w:p>
        </w:tc>
        <w:tc>
          <w:tcPr>
            <w:tcW w:type="dxa" w:w="238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14</w:t>
            </w:r>
          </w:p>
        </w:tc>
        <w:tc>
          <w:tcPr>
            <w:tcW w:type="dxa" w:w="2268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14</w:t>
            </w:r>
          </w:p>
        </w:tc>
      </w:tr>
      <w:tr>
        <w:trPr>
          <w:cantSplit/>
        </w:trPr>
        <w:tc>
          <w:tcPr>
            <w:tcW w:type="dxa" w:w="3056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Тарифы и хрупкость</w:t>
            </w:r>
          </w:p>
        </w:tc>
        <w:tc>
          <w:tcPr>
            <w:tcW w:type="dxa" w:w="198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49</w:t>
            </w:r>
          </w:p>
        </w:tc>
        <w:tc>
          <w:tcPr>
            <w:tcW w:type="dxa" w:w="238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30</w:t>
            </w:r>
          </w:p>
        </w:tc>
        <w:tc>
          <w:tcPr>
            <w:tcW w:type="dxa" w:w="2268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49</w:t>
            </w:r>
          </w:p>
        </w:tc>
      </w:tr>
      <w:tr>
        <w:trPr>
          <w:cantSplit/>
        </w:trPr>
        <w:tc>
          <w:tcPr>
            <w:tcW w:type="dxa" w:w="3056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Страховка</w:t>
            </w:r>
          </w:p>
        </w:tc>
        <w:tc>
          <w:tcPr>
            <w:tcW w:type="dxa" w:w="198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64</w:t>
            </w:r>
          </w:p>
        </w:tc>
        <w:tc>
          <w:tcPr>
            <w:tcW w:type="dxa" w:w="238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</w:t>
            </w:r>
          </w:p>
        </w:tc>
        <w:tc>
          <w:tcPr>
            <w:tcW w:type="dxa" w:w="2268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64</w:t>
            </w:r>
          </w:p>
        </w:tc>
      </w:tr>
      <w:tr>
        <w:trPr>
          <w:cantSplit/>
        </w:trPr>
        <w:tc>
          <w:tcPr>
            <w:tcW w:type="dxa" w:w="3056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Ограничение цены</w:t>
            </w:r>
          </w:p>
        </w:tc>
        <w:tc>
          <w:tcPr>
            <w:tcW w:type="dxa" w:w="1984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77</w:t>
            </w:r>
          </w:p>
        </w:tc>
        <w:tc>
          <w:tcPr>
            <w:tcW w:type="dxa" w:w="2381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</w:t>
            </w:r>
          </w:p>
        </w:tc>
        <w:tc>
          <w:tcPr>
            <w:tcW w:type="dxa" w:w="2268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77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Каждая стадия Red и Green сохранена отдельным коммитом. Полные журналы находятся в docs/evidence/tdd, сводка запусков — в tdd-runs.json. После Refactor успешно выполнены все 77 случаев.</w:t>
      </w:r>
    </w:p>
    <w:p>
      <w:pPr>
        <w:pStyle w:val="Heading2"/>
        <w:pageBreakBefore/>
      </w:pPr>
      <w:r>
        <w:rPr>
          <w:rFonts w:ascii="Times New Roman" w:hAnsi="Times New Roman" w:eastAsia="Times New Roman" w:cs="Times New Roman"/>
          <w:sz w:val="28"/>
          <w:color w:val="000000"/>
        </w:rPr>
        <w:t>Одиночный тест Fact и паттерн AAA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В тесте проверяется совместное применение типа, веса, хрупкости и страховки. Arrange создает калькулятор и заявку, Act выполняет расчет, Assert проверяет точно вычисленную сумму. Ниже приведен показательный фрагмент InsuranceTests; необязательное пояснение в утверждении опущено.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[Fact]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public void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CalculateCost_WithAllSurcharges_AddsInsuranceLast()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{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// ===== ARRANGE =====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var calculator = new DeliveryCalculator();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var request = TestRequests.Create(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    50m, 20m, DeliveryType.Express,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    true, true, 10000m);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// ===== ACT =====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decimal result = calculator.CalculateCost(request);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// ===== ASSERT =====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result.Should().Be(2040m);</w:t>
      </w:r>
    </w:p>
    <w:p>
      <w:pPr>
        <w:keepNext w:val="0"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}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Такой тест обнаруживает ошибки порядка операций: умножение надбавки за вес на коэффициент типа или увеличение страховой суммы на 15%. Проверка только положительного результата эти ошибки не выявила бы.</w:t>
      </w:r>
    </w:p>
    <w:p>
      <w:pPr>
        <w:pStyle w:val="Heading2"/>
        <w:pageBreakBefore/>
      </w:pPr>
      <w:r>
        <w:rPr>
          <w:rFonts w:ascii="Times New Roman" w:hAnsi="Times New Roman" w:eastAsia="Times New Roman" w:cs="Times New Roman"/>
          <w:sz w:val="28"/>
          <w:color w:val="000000"/>
        </w:rPr>
        <w:t>Параметризованный тест Theory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Граничные данные объединены в один метод, потому что подготовка заявки, вызов и утверждение одинаковы. В полном тесте также проверяются границы 100 и 1000 км. В этом листинге показаны значения ниже, на границе и выше 10 км.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[Theory]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[InlineData(9.99, 200)]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[InlineData(10, 200)]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[InlineData(10.01, 200.20)]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public void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CalculateCost_WithDistanceTariffBoundaries_ReturnsExpectedCost(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double distance, double expected)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{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// ===== ARRANGE =====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var calculator = new DeliveryCalculator();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var request = TestRequests.Create(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    distanceKm: (decimal)distance);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// ===== ACT =====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decimal result = calculator.CalculateCost(request);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// ===== ASSERT =====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result.Should().Be((decimal)expected);</w:t>
      </w:r>
    </w:p>
    <w:p>
      <w:pPr>
        <w:keepNext w:val="0"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}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InlineData задает отдельный случай xUnit для каждой строки. Параметры преобразуются в decimal до расчета; в основном модуле расстояние и сумма представлены только этим типом.</w:t>
      </w:r>
    </w:p>
    <w:p>
      <w:pPr>
        <w:pStyle w:val="Heading2"/>
        <w:pageBreakBefore/>
      </w:pPr>
      <w:r>
        <w:rPr>
          <w:rFonts w:ascii="Times New Roman" w:hAnsi="Times New Roman" w:eastAsia="Times New Roman" w:cs="Times New Roman"/>
          <w:sz w:val="28"/>
          <w:color w:val="000000"/>
        </w:rPr>
        <w:t>Проверка исключений через FluentAssertions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Негативные сценарии проверяют точный вид ошибки и имя некорректного параметра. Вызов помещен в делегат Action, поэтому исключение проверяется в секции Assert и не прерывает тест до утверждения.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[Theory]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[InlineData(-1)]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[InlineData(0)]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[InlineData(5000.01)]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public void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CalculateCost_WithInvalidDistance_ThrowsArgumentException(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double distance)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{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// ===== ARRANGE =====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var calculator = new DeliveryCalculator();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var request = TestRequests.Create(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    distanceKm: (decimal)distance);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// ===== ACT =====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Action act = () =&gt; calculator.CalculateCost(request);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// ===== ASSERT =====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act.Should().Throw&lt;ArgumentException&gt;()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    .WithParameterName(nameof(DeliveryRequest.DistanceKm));</w:t>
      </w:r>
    </w:p>
    <w:p>
      <w:pPr>
        <w:keepNext w:val="0"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}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Аналогично проверяются вес, null и неизвестный тип доставки. Названия методов следуют схеме MethodName_Condition_ExpectedBehavior, а все тесты содержат требуемые комментарии ARRANGE, ACT и ASSERT.</w:t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8"/>
          <w:color w:val="000000"/>
        </w:rPr>
        <w:t>3 Результаты измерения покрытия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Полный запуск xUnit завершился успешно: 77 случаев, 0 провалов. Покрыты 57 из 57 строк и 32 из 32 ветвей Lab2.Core. Line Coverage = 100%, Branch Coverage = 100%; обе метрики превышают требуемые 90%.</w:t>
      </w:r>
    </w:p>
    <w:p>
      <w:pPr>
        <w:keepNext/>
        <w:spacing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sz w:val="28"/>
          <w:color w:val="000000"/>
        </w:rPr>
        <w:drawing>
          <wp:inline xmlns:a="http://schemas.openxmlformats.org/drawingml/2006/main" xmlns:pic="http://schemas.openxmlformats.org/drawingml/2006/picture">
            <wp:extent cx="5760000" cy="370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-summary-fin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0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  <w:sz w:val="28"/>
          <w:color w:val="000000"/>
        </w:rPr>
        <w:t>Рисунок 1 — Итоговый HTML отчет ReportGenerator</w:t>
      </w:r>
    </w:p>
    <w:p>
      <w:pPr>
        <w:pStyle w:val="Heading2"/>
        <w:pageBreakBefore/>
      </w:pPr>
      <w:r>
        <w:rPr>
          <w:rFonts w:ascii="Times New Roman" w:hAnsi="Times New Roman" w:eastAsia="Times New Roman" w:cs="Times New Roman"/>
          <w:sz w:val="28"/>
          <w:color w:val="000000"/>
        </w:rPr>
        <w:t>Промежуточный анализ покрытия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После реализации тарифов выполнен отдельный промежуточный запуск только ValidationTests. Он показывает, почему одной группы валидации недостаточно. Сравниваются разные этапы и наборы тестов; в финальном коде дополнительно реализованы страховка, предел цены и рефакторинг.</w:t>
      </w:r>
    </w:p>
    <w:p>
      <w:pPr>
        <w:pStyle w:val="Caption"/>
        <w:keepNext/>
      </w:pPr>
      <w:r>
        <w:rPr>
          <w:rFonts w:ascii="Times New Roman" w:hAnsi="Times New Roman" w:eastAsia="Times New Roman" w:cs="Times New Roman"/>
          <w:sz w:val="28"/>
          <w:color w:val="000000"/>
        </w:rPr>
        <w:t>Таблица 4 — Промежуточное и итоговое покрытие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50" w:type="dxa"/>
          <w:bottom w:w="50" w:type="dxa"/>
          <w:left w:w="55" w:type="dxa"/>
          <w:right w:w="55" w:type="dxa"/>
        </w:tblCellMar>
      </w:tblPr>
      <w:tblGrid>
        <w:gridCol w:w="3679"/>
        <w:gridCol w:w="3005"/>
        <w:gridCol w:w="3005"/>
      </w:tblGrid>
      <w:tr>
        <w:trPr>
          <w:cantSplit/>
          <w:tblHeader/>
        </w:trPr>
        <w:tc>
          <w:tcPr>
            <w:tcW w:type="dxa" w:w="3679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Запуск</w:t>
            </w:r>
          </w:p>
        </w:tc>
        <w:tc>
          <w:tcPr>
            <w:tcW w:type="dxa" w:w="3005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Line Coverage</w:t>
            </w:r>
          </w:p>
        </w:tc>
        <w:tc>
          <w:tcPr>
            <w:tcW w:type="dxa" w:w="3005"/>
            <w:vAlign w:val="center"/>
            <w:shd w:fill="EFEFEF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>Branch Coverage</w:t>
            </w:r>
          </w:p>
        </w:tc>
      </w:tr>
      <w:tr>
        <w:trPr>
          <w:cantSplit/>
        </w:trPr>
        <w:tc>
          <w:tcPr>
            <w:tcW w:type="dxa" w:w="3679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Только валидация</w:t>
            </w:r>
          </w:p>
        </w:tc>
        <w:tc>
          <w:tcPr>
            <w:tcW w:type="dxa" w:w="3005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82% (32/39)</w:t>
            </w:r>
          </w:p>
        </w:tc>
        <w:tc>
          <w:tcPr>
            <w:tcW w:type="dxa" w:w="3005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75% (21/28)</w:t>
            </w:r>
          </w:p>
        </w:tc>
      </w:tr>
      <w:tr>
        <w:trPr>
          <w:cantSplit/>
        </w:trPr>
        <w:tc>
          <w:tcPr>
            <w:tcW w:type="dxa" w:w="3679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Полный набор</w:t>
            </w:r>
          </w:p>
        </w:tc>
        <w:tc>
          <w:tcPr>
            <w:tcW w:type="dxa" w:w="3005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100% (57/57)</w:t>
            </w:r>
          </w:p>
        </w:tc>
        <w:tc>
          <w:tcPr>
            <w:tcW w:type="dxa" w:w="3005"/>
            <w:vAlign w:val="center"/>
          </w:tcPr>
          <w:p>
            <w:pPr>
              <w:spacing w:line="360" w:lineRule="auto"/>
              <w:ind w:firstLine="0" w:left="0" w:right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8"/>
              </w:rPr>
              <w:t>100% (32/32)</w:t>
            </w:r>
          </w:p>
        </w:tc>
      </w:tr>
    </w:tbl>
    <w:p>
      <w:pPr>
        <w:keepNext/>
        <w:spacing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sz w:val="28"/>
          <w:color w:val="000000"/>
        </w:rPr>
        <w:drawing>
          <wp:inline xmlns:a="http://schemas.openxmlformats.org/drawingml/2006/main" xmlns:pic="http://schemas.openxmlformats.org/drawingml/2006/picture">
            <wp:extent cx="6152400" cy="34117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-uncovered-intermedi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400" cy="3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  <w:sz w:val="28"/>
          <w:color w:val="000000"/>
        </w:rPr>
        <w:t>Рисунок 2 — Непокрытые тарифные ветви промежуточного запуска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На рисунке красным выделены расчеты средних диапазонов расстояния, желтым — частично покрытые условия. Их проверяют случаи 10,01–100 км и 100,01–1000 км из TariffTests. В полном наборе включены все весовые диапазоны, Express, Overnight и хрупкость; затем по TDD добавлены страховка и ограничение цены.</w:t>
      </w:r>
    </w:p>
    <w:p>
      <w:pPr>
        <w:pStyle w:val="Heading2"/>
        <w:pageBreakBefore/>
      </w:pPr>
      <w:r>
        <w:rPr>
          <w:rFonts w:ascii="Times New Roman" w:hAnsi="Times New Roman" w:eastAsia="Times New Roman" w:cs="Times New Roman"/>
          <w:sz w:val="28"/>
          <w:color w:val="000000"/>
        </w:rPr>
        <w:t>Команды и воспроизводимость результатов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Основной способ измерения покрытия соответствует шагу 4 методички. Из корня репозитория выполняются следующие команды. Для HTML отчета берется файл Cobertura, созданный именно текущим запуском.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dotnet tool restore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dotnet test Lab2.sln --collect:"XPlat Code Coverage" \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--settings coverage.runsettings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>dotnet tool run reportgenerator \</w:t>
      </w:r>
    </w:p>
    <w:p>
      <w:pPr>
        <w:keepNext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"-reports:Lab2.Tests/TestResults/**/coverage.cobertura.xml" \</w:t>
      </w:r>
    </w:p>
    <w:p>
      <w:pPr>
        <w:keepNext w:val="0"/>
        <w:keepLines/>
        <w:spacing w:line="360" w:lineRule="auto"/>
        <w:ind w:firstLine="0"/>
        <w:jc w:val="left"/>
      </w:pPr>
      <w:r>
        <w:rPr>
          <w:rFonts w:ascii="Courier New" w:hAnsi="Courier New" w:eastAsia="Courier New" w:cs="Courier New"/>
          <w:color w:val="000000"/>
          <w:sz w:val="24"/>
        </w:rPr>
        <w:t xml:space="preserve">    "-targetdir:coveragereport" "-reporttypes:Html"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Coverlet измеряет всю сборку Lab2.Core без исключения строк или методов бизнес логики. Тестовая сборка не включается. Готовый HTML отчет находится в docs/coverage/final/index.html; XML измерений — в docs/evidence/coverage-final.cobertura.xml, результаты тестов — в final.trx. Для повторного запуска и проверки порога 90% предусмотрен scripts/Test-WithCoverage.ps1.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Дополнительно проверен альтернативный способ coverlet.msbuild. Он запускает те же тесты и контролирует пороги покрытия строк и ветвей через параметры Threshold=90 и ThresholdType=line,branch. В финальном HTML отчете непокрытых строк и ветвей нет; дописывание тестов для достижения 90% не требуется.</w:t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8"/>
          <w:color w:val="000000"/>
        </w:rPr>
        <w:t>4 Анализ качества тестов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Выявлены границы диапазонов 0 и 5000 км, 0 и 1000 кг, тарифные пороги 10, 100, 1000 км и 5, 20, 100 кг, объявленная стоимость 0 и 5000 руб., итоговая цена 50000 руб. Проверены значения ниже, на границе и выше, чтобы выявить ошибки &lt; и ≤.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Параметризация объединяет одинаковые проверки расстояния, веса, типа, хрупкости, страховки и предела. Каждый набор данных имеет отдельный результат. Fact используются для совместного расчета, null, максимальной объявленной стоимости и повторяемости.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Сложные условия с коротким замыканием покрыты всеми допустимыми исходами. Для страховки проверены четыре сочетания IsInsured и DeclaredValue &gt; 0. Для валидации — отрицательные, нулевые, допустимые и превышающие максимум значения. Предел проверен после тарифа, типа, хрупкости и страховки.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Соблюдены FIRST: тесты быстрые, изолированные, повторяемые и самопроверяемые; они написаны до реализации. Используются независимые заявки, постоянные данные и утверждения FluentAssertions. Повторный расчет сохраняет вход и дает одинаковую сумму.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100% покрытия строк и ветвей не доказывают отсутствие всех дефектов и не равны полному покрытию путей. Качество дополнительно поддерживают точные ожидаемые суммы, негативные случаи, границы и проверки порядка надбавок.</w:t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  <w:color w:val="000000"/>
        </w:rPr>
        <w:t>Заключение</w:t>
      </w:r>
    </w:p>
    <w:p>
      <w:pPr>
        <w:spacing w:after="0"/>
      </w:pPr>
      <w:r>
        <w:rPr>
          <w:rFonts w:ascii="Times New Roman" w:hAnsi="Times New Roman" w:eastAsia="Times New Roman" w:cs="Times New Roman"/>
          <w:b w:val="0"/>
          <w:sz w:val="28"/>
          <w:color w:val="000000"/>
        </w:rPr>
        <w:t>Разработан модуль службы доставки по TDD с последующим рефакторингом. Созданы два проекта, матрица из 36 сценариев, 77 тестовых случаев и HTML отчет. Все тесты проходят. Line Coverage — 100% (57/57), Branch Coverage — 100% (32/32); порог 90% достигнут.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i w:val="0"/>
      <w:color w:val="000000"/>
      <w:sz w:val="28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0"/>
      <w:jc w:val="both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360" w:lineRule="auto"/>
      <w:ind w:firstLine="0"/>
      <w:jc w:val="both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0" w:line="360" w:lineRule="auto" w:before="0"/>
      <w:ind w:firstLine="0"/>
      <w:contextualSpacing/>
      <w:jc w:val="both"/>
    </w:pPr>
    <w:rPr>
      <w:rFonts w:ascii="Times New Roman" w:hAnsi="Times New Roman" w:eastAsia="Times New Roman" w:cs="Times New Roman"/>
      <w:b/>
      <w:i w:val="0"/>
      <w:color w:val="000000"/>
      <w:spacing w:val="5"/>
      <w:kern w:val="28"/>
      <w:sz w:val="28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60" w:lineRule="auto" w:before="0" w:after="120"/>
      <w:ind w:firstLine="0"/>
      <w:jc w:val="center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Автоматизированное модульное тестирование службы доставки</dc:title>
  <dc:subject>Лабораторная работа 2 Вариант 2</dc:subject>
  <dc:creator/>
  <cp:keywords>xUnit FluentAssertions Coverlet TDD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