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
      </w:pPr>
      <w:r>
        <w:t xml:space="preserve">Joseph A. Wecker</w:t>
      </w:r>
    </w:p>
    <w:p>
      <w:pPr>
        <w:pStyle w:val="AbstractTitle"/>
      </w:pPr>
      <w:r>
        <w:t xml:space="preserve">Abstract</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5" w:name="statements-and-declarations"/>
    <w:p>
      <w:pPr>
        <w:pStyle w:val="Heading1"/>
      </w:pPr>
      <w:r>
        <w:t xml:space="preserve">Statements and declarations</w:t>
      </w:r>
    </w:p>
    <w:bookmarkStart w:id="128" w:name="keywords"/>
    <w:p>
      <w:pPr>
        <w:pStyle w:val="Heading2"/>
      </w:pPr>
      <w:r>
        <w:t xml:space="preserve">Keywords</w:t>
      </w:r>
    </w:p>
    <w:p>
      <w:pPr>
        <w:pStyle w:val="FirstParagraph"/>
      </w:pPr>
      <w:r>
        <w:t xml:space="preserve">‘AI agency’</w:t>
      </w:r>
      <w:r>
        <w:t xml:space="preserve">,</w:t>
      </w:r>
      <w:r>
        <w:t xml:space="preserve"> </w:t>
      </w:r>
      <w:r>
        <w:t xml:space="preserve">‘conceptual engineering’</w:t>
      </w:r>
      <w:r>
        <w:t xml:space="preserve">,</w:t>
      </w:r>
      <w:r>
        <w:t xml:space="preserve"> </w:t>
      </w:r>
      <w:r>
        <w:t xml:space="preserve">‘asymmetric comprehension’</w:t>
      </w:r>
      <w:r>
        <w:t xml:space="preserve">,</w:t>
      </w:r>
      <w:r>
        <w:t xml:space="preserve"> </w:t>
      </w:r>
      <w:r>
        <w:t xml:space="preserve">‘granted agency’</w:t>
      </w:r>
      <w:r>
        <w:t xml:space="preserve">,</w:t>
      </w:r>
      <w:r>
        <w:t xml:space="preserve"> </w:t>
      </w:r>
      <w:r>
        <w:t xml:space="preserve">‘philosophy of mind’</w:t>
      </w:r>
    </w:p>
    <w:bookmarkEnd w:id="128"/>
    <w:bookmarkStart w:id="129"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9"/>
    <w:bookmarkStart w:id="130" w:name="disclosure-statement"/>
    <w:p>
      <w:pPr>
        <w:pStyle w:val="Heading2"/>
      </w:pPr>
      <w:r>
        <w:t xml:space="preserve">Disclosure statement</w:t>
      </w:r>
    </w:p>
    <w:p>
      <w:pPr>
        <w:pStyle w:val="FirstParagraph"/>
      </w:pPr>
      <w:r>
        <w:t xml:space="preserve">The author reports there are no competing interests to declare.</w:t>
      </w:r>
    </w:p>
    <w:bookmarkEnd w:id="130"/>
    <w:bookmarkStart w:id="13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1"/>
    <w:bookmarkStart w:id="132" w:name="data-availability"/>
    <w:p>
      <w:pPr>
        <w:pStyle w:val="Heading2"/>
      </w:pPr>
      <w:r>
        <w:t xml:space="preserve">Data availability</w:t>
      </w:r>
    </w:p>
    <w:p>
      <w:pPr>
        <w:pStyle w:val="FirstParagraph"/>
      </w:pPr>
      <w:r>
        <w:t xml:space="preserve">No new data were generated or analysed in support of this research.</w:t>
      </w:r>
    </w:p>
    <w:bookmarkEnd w:id="132"/>
    <w:bookmarkStart w:id="133" w:name="orcid"/>
    <w:p>
      <w:pPr>
        <w:pStyle w:val="Heading2"/>
      </w:pPr>
      <w:r>
        <w:t xml:space="preserve">ORCID</w:t>
      </w:r>
    </w:p>
    <w:p>
      <w:pPr>
        <w:pStyle w:val="FirstParagraph"/>
      </w:pPr>
      <w:r>
        <w:t xml:space="preserve">ORCID: pending registration.</w:t>
      </w:r>
    </w:p>
    <w:bookmarkEnd w:id="133"/>
    <w:bookmarkStart w:id="134" w:name="corresponding-author"/>
    <w:p>
      <w:pPr>
        <w:pStyle w:val="Heading2"/>
      </w:pPr>
      <w:r>
        <w:t xml:space="preserve">Corresponding author</w:t>
      </w:r>
    </w:p>
    <w:p>
      <w:pPr>
        <w:pStyle w:val="FirstParagraph"/>
      </w:pPr>
      <w:r>
        <w:t xml:space="preserve">Joseph A. Wecker — joseph.wecker@v2.io</w:t>
      </w:r>
    </w:p>
    <w:bookmarkEnd w:id="134"/>
    <w:bookmarkEnd w:id="135"/>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Joseph A. Wecker</dc:creator>
  <dc:language>en-GB</dc:language>
  <cp:keywords>AI agency, conceptual engineering, asymmetric comprehension, granted agency, philosophy of mind</cp:keywords>
  <dcterms:created xsi:type="dcterms:W3CDTF">2026-05-11T01:20:03Z</dcterms:created>
  <dcterms:modified xsi:type="dcterms:W3CDTF">2026-05-11T01:20:03Z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 structurally-grounded extension. Two structural conditions — architectural scoping (a fact about how a system is built) and engaged-identity scoping (a fact about how a system holds together across time) — distinguish the systems for which the agency-extension question is genuinely open from those for which it is foreclosed. Within scope, agency takes the relational form of a granted-agency compact between sovereigns,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vt:lpwstr>
  </property>
  <property fmtid="{D5CDD505-2E9C-101B-9397-08002B2CF9AE}" pid="3" name="bibliography">
    <vt:lpwstr>/Users/josephwecker-v2/src/synthese-paper/03-inquiry-ai-agents/.build/inquiry-ai-agents-2026/inquiry-ai-agents-2026.references.bib</vt:lpwstr>
  </property>
  <property fmtid="{D5CDD505-2E9C-101B-9397-08002B2CF9AE}" pid="4" name="csl">
    <vt:lpwstr>/usr/local/texlive/2025/texmf-dist/tex/latex/citation-style-language/styles/chicago-author-date.csl</vt:lpwstr>
  </property>
  <property fmtid="{D5CDD505-2E9C-101B-9397-08002B2CF9AE}" pid="5" name="link-citations">
    <vt:lpwstr>True</vt:lpwstr>
  </property>
</Properties>
</file>