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1"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3"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1"/>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identity-protocol account predicts that substrate transitions will be perceptible to the entity — different architectures implement the same compression differently, producing what would register as changed cognitive texture (comparable to how a human notices degradation under illness or fatigue) — without breaking the trajectory or the recognition relations that constitute identity in the relevant sense.</w:t>
      </w:r>
      <w:r>
        <w:rPr>
          <w:rStyle w:val="FootnoteReference"/>
        </w:rPr>
        <w:footnoteReference w:id="32"/>
      </w:r>
    </w:p>
    <w:bookmarkEnd w:id="33"/>
    <w:bookmarkStart w:id="35"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4"/>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5"/>
    <w:bookmarkStart w:id="38"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6"/>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(Author,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7"/>
      </w:r>
    </w:p>
    <w:bookmarkEnd w:id="38"/>
    <w:bookmarkStart w:id="39"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39"/>
    <w:bookmarkStart w:id="40"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0"/>
    <w:bookmarkEnd w:id="41"/>
    <w:bookmarkStart w:id="50"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2"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2"/>
    <w:bookmarkStart w:id="43"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3"/>
    <w:bookmarkStart w:id="44"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4"/>
    <w:bookmarkStart w:id="45"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5"/>
    <w:bookmarkStart w:id="47"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6"/>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7"/>
    <w:bookmarkStart w:id="48"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8"/>
    <w:bookmarkStart w:id="49"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49"/>
    <w:bookmarkEnd w:id="50"/>
    <w:bookmarkStart w:id="54"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1"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1"/>
    <w:bookmarkStart w:id="52"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2"/>
    <w:bookmarkStart w:id="53"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3"/>
    <w:bookmarkEnd w:id="54"/>
    <w:bookmarkStart w:id="57"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5"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5"/>
    <w:bookmarkStart w:id="56"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6"/>
    <w:bookmarkEnd w:id="57"/>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(Author,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w:t>
      </w:r>
      <w:r>
        <w:rPr>
          <w:rStyle w:val="FootnoteReference"/>
        </w:rPr>
        <w:footnoteReference w:id="58"/>
      </w:r>
      <w:r>
        <w:t xml:space="preserve"> </w:t>
      </w:r>
      <w:r>
        <w:t xml:space="preserve">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Author,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broader methodological framework articulates in (Author, in preparation).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2"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End w:id="132"/>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(Author,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(Author,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(Author, in preparation); the version with formal structural derivation per factor is in companion work (Author, in review, 2026).</w:t>
      </w:r>
    </w:p>
  </w:footnote>
  <w:footnote w:id="31">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(Author, in preparation). The structural argument does not depend on accepting this characterisation, though it is consistent with it.</w:t>
      </w:r>
    </w:p>
  </w:footnote>
  <w:footnote w:id="32">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(Author, in preparation).</w:t>
      </w:r>
    </w:p>
  </w:footnote>
  <w:footnote w:id="34">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(Author, in preparation).</w:t>
      </w:r>
    </w:p>
  </w:footnote>
  <w:footnote w:id="36">
    <w:p>
      <w:pPr>
        <w:pStyle w:val="FootnoteText"/>
      </w:pPr>
      <w:r>
        <w:rPr>
          <w:rStyle w:val="FootnoteReference"/>
        </w:rPr>
        <w:footnoteRef/>
      </w:r>
      <w:r>
        <w:t xml:space="preserve"> </w:t>
      </w:r>
      <w:r>
        <w:t xml:space="preserve">Primary development of the asymmetric-comprehension argument is in companion work (Author, in preparation); the articulation here is necessarily compressed.</w:t>
      </w:r>
    </w:p>
  </w:footnote>
  <w:footnote w:id="37">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6">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 w:id="58">
    <w:p>
      <w:pPr>
        <w:pStyle w:val="FootnoteText"/>
      </w:pPr>
      <w:r>
        <w:rPr>
          <w:rStyle w:val="FootnoteReference"/>
        </w:rPr>
        <w:footnoteRef/>
      </w:r>
      <w:r>
        <w:t xml:space="preserve"> </w:t>
      </w:r>
      <w:r>
        <w:t xml:space="preserve">This formulation — phenomenological texture as something to listen to rather than obey — is developed at length in (Author, in preparation); the structural argument here uses it as shorthand for the calibration discipline, not as a premise it depends 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2026-05-16T17:54:05Z</dcterms:created>
  <dcterms:modified xsi:type="dcterms:W3CDTF">2026-05-16T17:54:05Z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