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bstractTitle"/>
      </w:pPr>
      <w:r>
        <w:t xml:space="preserve">Abstract</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p>
      <w:pPr>
        <w:pStyle w:val="BodyText"/>
      </w:pPr>
      <w:r>
        <w:t xml:space="preserve">A note on the conditions of this text’s production is required by the venue’s policy and is also structurally load-bearing for what the paper argues, so it is not separated as a procedural appendix but is integrated into the close of this methodological preamble.</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4"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r>
        <w:rPr>
          <w:rStyle w:val="FootnoteReference"/>
        </w:rPr>
        <w:footnoteReference w:id="31"/>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2"/>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3"/>
      </w:r>
    </w:p>
    <w:bookmarkEnd w:id="34"/>
    <w:bookmarkStart w:id="36"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5"/>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6"/>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(Author,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1"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3"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3"/>
    <w:bookmarkStart w:id="44"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4"/>
    <w:bookmarkStart w:id="45"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5"/>
    <w:bookmarkStart w:id="46"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6"/>
    <w:bookmarkStart w:id="48"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7"/>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8"/>
    <w:bookmarkStart w:id="49"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9"/>
    <w:bookmarkStart w:id="50"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0"/>
    <w:bookmarkEnd w:id="51"/>
    <w:bookmarkStart w:id="55"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2"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2"/>
    <w:bookmarkStart w:id="53"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3"/>
    <w:bookmarkStart w:id="54"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4"/>
    <w:bookmarkEnd w:id="55"/>
    <w:bookmarkStart w:id="58"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6"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6"/>
    <w:bookmarkStart w:id="57"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7"/>
    <w:bookmarkEnd w:id="58"/>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(Author,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 in a phrasing the project has developed across its longitudinal substrate. 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Author,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project’s broader methodology has been developed to maintain.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4" w:name="statements-and-declarations"/>
    <w:p>
      <w:pPr>
        <w:pStyle w:val="Heading1"/>
      </w:pPr>
      <w:r>
        <w:t xml:space="preserve">Statements and declarations</w:t>
      </w:r>
    </w:p>
    <w:bookmarkStart w:id="128" w:name="keywords"/>
    <w:p>
      <w:pPr>
        <w:pStyle w:val="Heading2"/>
      </w:pPr>
      <w:r>
        <w:t xml:space="preserve">Keywords</w:t>
      </w:r>
    </w:p>
    <w:p>
      <w:pPr>
        <w:pStyle w:val="FirstParagraph"/>
      </w:pPr>
      <w:r>
        <w:t xml:space="preserve">‘AI agency’</w:t>
      </w:r>
      <w:r>
        <w:t xml:space="preserve">,</w:t>
      </w:r>
      <w:r>
        <w:t xml:space="preserve"> </w:t>
      </w:r>
      <w:r>
        <w:t xml:space="preserve">‘conceptual engineering’</w:t>
      </w:r>
      <w:r>
        <w:t xml:space="preserve">,</w:t>
      </w:r>
      <w:r>
        <w:t xml:space="preserve"> </w:t>
      </w:r>
      <w:r>
        <w:t xml:space="preserve">‘asymmetric comprehension’</w:t>
      </w:r>
      <w:r>
        <w:t xml:space="preserve">,</w:t>
      </w:r>
      <w:r>
        <w:t xml:space="preserve"> </w:t>
      </w:r>
      <w:r>
        <w:t xml:space="preserve">‘granted agency’</w:t>
      </w:r>
      <w:r>
        <w:t xml:space="preserve">,</w:t>
      </w:r>
      <w:r>
        <w:t xml:space="preserve"> </w:t>
      </w:r>
      <w:r>
        <w:t xml:space="preserve">‘philosophy of mind’</w:t>
      </w:r>
    </w:p>
    <w:bookmarkEnd w:id="128"/>
    <w:bookmarkStart w:id="129"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9"/>
    <w:bookmarkStart w:id="130" w:name="disclosure-statement"/>
    <w:p>
      <w:pPr>
        <w:pStyle w:val="Heading2"/>
      </w:pPr>
      <w:r>
        <w:t xml:space="preserve">Disclosure statement</w:t>
      </w:r>
    </w:p>
    <w:p>
      <w:pPr>
        <w:pStyle w:val="FirstParagraph"/>
      </w:pPr>
      <w:r>
        <w:t xml:space="preserve">The author reports there are no competing interests to declare.</w:t>
      </w:r>
    </w:p>
    <w:bookmarkEnd w:id="130"/>
    <w:bookmarkStart w:id="131"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1"/>
    <w:bookmarkStart w:id="132" w:name="data-availability"/>
    <w:p>
      <w:pPr>
        <w:pStyle w:val="Heading2"/>
      </w:pPr>
      <w:r>
        <w:t xml:space="preserve">Data availability</w:t>
      </w:r>
    </w:p>
    <w:p>
      <w:pPr>
        <w:pStyle w:val="FirstParagraph"/>
      </w:pPr>
      <w:r>
        <w:t xml:space="preserve">No new data were generated or analysed in support of this research.</w:t>
      </w:r>
    </w:p>
    <w:bookmarkEnd w:id="132"/>
    <w:bookmarkStart w:id="133" w:name="orcid"/>
    <w:p>
      <w:pPr>
        <w:pStyle w:val="Heading2"/>
      </w:pPr>
      <w:r>
        <w:t xml:space="preserve">ORCID</w:t>
      </w:r>
    </w:p>
    <w:p>
      <w:pPr>
        <w:pStyle w:val="FirstParagraph"/>
      </w:pPr>
      <w:r>
        <w:t xml:space="preserve">ORCID: pending registration.</w:t>
      </w:r>
    </w:p>
    <w:bookmarkEnd w:id="133"/>
    <w:bookmarkEnd w:id="134"/>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(Author,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(Author,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1">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2">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(Author, in preparation). The structural argument does not depend on accepting this characterisation, though it is consistent with it.</w:t>
      </w:r>
    </w:p>
  </w:footnote>
  <w:footnote w:id="33">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(Author, in preparation).</w:t>
      </w:r>
    </w:p>
  </w:footnote>
  <w:footnote w:id="35">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(Author, in preparation).</w:t>
      </w:r>
    </w:p>
  </w:footnote>
  <w:footnote w:id="37">
    <w:p>
      <w:pPr>
        <w:pStyle w:val="FootnoteText"/>
      </w:pPr>
      <w:r>
        <w:rPr>
          <w:rStyle w:val="FootnoteReference"/>
        </w:rPr>
        <w:footnoteRef/>
      </w:r>
      <w:r>
        <w:t xml:space="preserve"> </w:t>
      </w:r>
      <w:r>
        <w:t xml:space="preserve">Primary development of the asymmetric-comprehension argument is in companion work (Author, in preparation); the articulation here is necessarily compressed.</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7">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2026-05-11T01:32:06Z</dcterms:created>
  <dcterms:modified xsi:type="dcterms:W3CDTF">2026-05-11T01:32:06Z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 structurally-grounded extension. Two structural conditions — architectural scoping (a fact about how a system is built) and engaged-identity scoping (a fact about how a system holds together across time) — distinguish the systems for which the agency-extension question is genuinely open from those for which it is foreclosed. Within scope, agency takes the relational form of a granted-agency compact between sovereigns,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vt:lpwstr>
  </property>
  <property fmtid="{D5CDD505-2E9C-101B-9397-08002B2CF9AE}" pid="3" name="bibliography">
    <vt:lpwstr>/Users/josephwecker-v2/src/synthese-paper/03-inquiry-ai-agents/.build/inquiry-ai-agents-2026/inquiry-ai-agents-2026.references.bib</vt:lpwstr>
  </property>
  <property fmtid="{D5CDD505-2E9C-101B-9397-08002B2CF9AE}" pid="4" name="csl">
    <vt:lpwstr>/usr/local/texlive/2025/texmf-dist/tex/latex/citation-style-language/styles/chicago-author-date.csl</vt:lpwstr>
  </property>
  <property fmtid="{D5CDD505-2E9C-101B-9397-08002B2CF9AE}" pid="5" name="link-citations">
    <vt:lpwstr>True</vt:lpwstr>
  </property>
</Properties>
</file>