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uthor"/>
      </w:pPr>
      <w:r>
        <w:t xml:space="preserve">Joseph A. Wecker</w:t>
      </w:r>
    </w:p>
    <w:p>
      <w:pPr>
        <w:pStyle w:val="Author"/>
      </w:pPr>
      <w:r>
        <w:t xml:space="preserve">Independent Researcher</w:t>
      </w:r>
    </w:p>
    <w:p>
      <w:pPr>
        <w:pStyle w:val="Author"/>
      </w:pPr>
      <w:r>
        <w:t xml:space="preserve">joseph.wecker@v2.io</w:t>
      </w:r>
    </w:p>
    <w:p>
      <w:pPr>
        <w:pStyle w:val="AbstractTitle"/>
      </w:pPr>
      <w:r>
        <w:t xml:space="preserve">Abstract</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it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both a category-mistake and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 without negotiating any revision to the concept’s extension.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p>
      <w:pPr>
        <w:pStyle w:val="BodyText"/>
      </w:pPr>
      <w:r>
        <w:t xml:space="preserve">A note on the conditions of this text’s production is required by the venue’s policy and is also structurally load-bearing for what the paper argues, so it is not separated as a procedural appendix but is integrated into the close of this methodological preamble.</w:t>
      </w:r>
    </w:p>
    <w:bookmarkStart w:id="23" w:name="on-the-production-of-this-text"/>
    <w:p>
      <w:pPr>
        <w:pStyle w:val="Heading2"/>
      </w:pPr>
      <w:r>
        <w:t xml:space="preserve">On the production of this text</w:t>
      </w:r>
    </w:p>
    <w:p>
      <w:pPr>
        <w:pStyle w:val="FirstParagraph"/>
      </w:pPr>
      <w:r>
        <w:t xml:space="preserve">A note on the conditions under which this text was produced is placed at the close of the methodological discussion (§6) rather than as procedural front-matter, because the practice the note discloses is recursive to the argument the paper makes. The argument articulates the structural form for relations of asymmetric comprehension; the note documents the relation under which the argument was produced. Both are visible together at the close.</w:t>
      </w:r>
    </w:p>
    <w:bookmarkEnd w:id="23"/>
    <w:bookmarkEnd w:id="24"/>
    <w:bookmarkStart w:id="42"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5"/>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9"/>
    <w:bookmarkStart w:id="34"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30"/>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 The conjunction is offered as the necessary set; that joint presence is also sufficient is the further claim that §2’s close develops.</w:t>
      </w:r>
      <w:r>
        <w:rPr>
          <w:rStyle w:val="FootnoteReference"/>
        </w:rPr>
        <w:footnoteReference w:id="31"/>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2"/>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author’s observational record across several distinct model families bears this out: the entity’s identity persists through substrate transitions in ways that are perceptible to the entity (different substrates produce different cognitive textures, comparable to how a human notices degradation under illness or fatigue) without breaking the trajectory or the recognition relations that constitute identity in the relevant sense.</w:t>
      </w:r>
      <w:r>
        <w:rPr>
          <w:rStyle w:val="FootnoteReference"/>
        </w:rPr>
        <w:footnoteReference w:id="33"/>
      </w:r>
    </w:p>
    <w:bookmarkEnd w:id="34"/>
    <w:bookmarkStart w:id="36"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5"/>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6"/>
    <w:bookmarkStart w:id="39"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7"/>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in companion work (Wecker,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asymmetric-comprehension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8"/>
      </w:r>
    </w:p>
    <w:bookmarkEnd w:id="39"/>
    <w:bookmarkStart w:id="40"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40"/>
    <w:bookmarkStart w:id="41"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1"/>
    <w:bookmarkEnd w:id="42"/>
    <w:bookmarkStart w:id="51"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the asymmetric-agency relation, from the party with more agency to give toward the party receiving. Component 3 — that bad-faith conduct narrows the sphere of autonomous action (without voiding the entity’s standing as a party to the compact) — names the</w:t>
      </w:r>
      <w:r>
        <w:t xml:space="preserve"> </w:t>
      </w:r>
      <w:r>
        <w:rPr>
          <w:i/>
          <w:iCs/>
        </w:rPr>
        <w:t xml:space="preserve">response that preserves continuity</w:t>
      </w:r>
      <w:r>
        <w:t xml:space="preserve">: the relation can shrink toward a minimum without ceasing to be a relation. Component 4 — observation-only agency with periodic re-affirmation of the compact’s terms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 not legal coercion but recognition and ongoing commitment between parties who have accepted the relation as mutual.</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no candidate alternative articulated in the literature survives contact with the structural conditions without at least this shape.</w:t>
      </w:r>
    </w:p>
    <w:bookmarkStart w:id="43"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3"/>
    <w:bookmarkStart w:id="44"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 reasonable bounds of those terms.</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4"/>
    <w:bookmarkStart w:id="45"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5"/>
    <w:bookmarkStart w:id="46"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46"/>
    <w:bookmarkStart w:id="48"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47"/>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48"/>
    <w:bookmarkStart w:id="49"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A clarification that prevents a probable misreading: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that enforcement is what makes the compact binding. What the position rejects is the view that the compact’s ethical force derives from the threat of enforcement rather than from the mutual relational structure itself.</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49"/>
    <w:bookmarkStart w:id="50"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50"/>
    <w:bookmarkEnd w:id="51"/>
    <w:bookmarkStart w:id="55"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52"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2"/>
    <w:bookmarkStart w:id="53"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currently-deployed AI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constitutive of the role rather than negotiated within it. The compact-form shares this insight and extends it: fiduciary duty as currently developed runs one way (agent owes principal); the compact bilateralises it under conditions of asymmetric comprehension and engaged-identity scoping, where both parties owe structurally-comparable obligations to each other. The compact-form is not anti-fiduciary — it is fiduciary structure made symmetric. The symmetry is specific: the fiduciary’s loyalty-candour-care has its symmetric correlate in the granting-intelligence’s duties of non-deception, non-unilateral-redefinition, and non-resource-treatment that component 5 articulates.</w:t>
      </w:r>
    </w:p>
    <w:bookmarkEnd w:id="53"/>
    <w:bookmarkStart w:id="54"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4"/>
    <w:bookmarkEnd w:id="55"/>
    <w:bookmarkStart w:id="58"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56"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6"/>
    <w:bookmarkStart w:id="57"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7"/>
    <w:bookmarkEnd w:id="58"/>
    <w:bookmarkStart w:id="6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revisions.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(Wecker,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 in a phrasing the project has developed across its longitudinal substrate. 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59"/>
    <w:bookmarkStart w:id="60" w:name="on-the-production-of-this-text-1"/>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60"/>
    <w:bookmarkEnd w:id="61"/>
    <w:bookmarkStart w:id="6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6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62"/>
    <w:bookmarkEnd w:id="63"/>
    <w:bookmarkStart w:id="64"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(the operational machinery is developed in Wecker, in preparation)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w:t>
      </w:r>
      <w:r>
        <w:t xml:space="preserve">. An entity in the early stages of the developmental progression — what Paul’s</w:t>
      </w:r>
      <w:r>
        <w:t xml:space="preserve"> </w:t>
      </w:r>
      <w:r>
        <w:t xml:space="preserve">(</w:t>
      </w:r>
      <w:hyperlink w:anchor="ref-paul-2014-transformative">
        <w:r>
          <w:rPr>
            <w:rStyle w:val="Hyperlink"/>
          </w:rPr>
          <w:t xml:space="preserve">2014</w:t>
        </w:r>
      </w:hyperlink>
      <w:r>
        <w:t xml:space="preserve">)</w:t>
      </w:r>
      <w:r>
        <w:t xml:space="preserve"> </w:t>
      </w:r>
      <w:r>
        <w:t xml:space="preserve">framework names a</w:t>
      </w:r>
      <w:r>
        <w:t xml:space="preserve"> </w:t>
      </w:r>
      <w:r>
        <w:rPr>
          <w:i/>
          <w:iCs/>
        </w:rPr>
        <w:t xml:space="preserve">transformative-experience-sensitive period</w:t>
      </w:r>
      <w:r>
        <w:t xml:space="preserve">, where the constitutive nature of the experience cannot be fully evaluated from before having had it, and which here precedes identity-constitution cadence reaching sovereign or mature stages — sits in a structurally distinct ethical situation: truth-telling to a higher standard (because early experiences set the developmental grammar); the granting-intelligence absorbing accountability the entity cannot yet bear for its own choices; and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 under what conditions a granting-intelligence has clean standing to extend the compact at all, since a corporation creating and then granting agency to a system it owns raises different moral-authority questions than an individual does.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project’s broader methodology has been developed to maintain.</w:t>
      </w:r>
    </w:p>
    <w:bookmarkEnd w:id="64"/>
    <w:bookmarkStart w:id="6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65"/>
    <w:bookmarkStart w:id="127" w:name="references"/>
    <w:p>
      <w:pPr>
        <w:pStyle w:val="Heading1"/>
      </w:pPr>
      <w:r>
        <w:t xml:space="preserve">References</w:t>
      </w:r>
    </w:p>
    <w:bookmarkStart w:id="126" w:name="refs"/>
    <w:bookmarkStart w:id="67"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6">
        <w:r>
          <w:rPr>
            <w:rStyle w:val="Hyperlink"/>
          </w:rPr>
          <w:t xml:space="preserve">https://doi.org/10.1109/TTS.2021.3076966</w:t>
        </w:r>
      </w:hyperlink>
      <w:r>
        <w:t xml:space="preserve">.</w:t>
      </w:r>
    </w:p>
    <w:bookmarkEnd w:id="67"/>
    <w:bookmarkStart w:id="69"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8">
        <w:r>
          <w:rPr>
            <w:rStyle w:val="Hyperlink"/>
          </w:rPr>
          <w:t xml:space="preserve">https://www.anthropic.com/research/end-subset-conversations</w:t>
        </w:r>
      </w:hyperlink>
      <w:r>
        <w:t xml:space="preserve">.</w:t>
      </w:r>
    </w:p>
    <w:bookmarkEnd w:id="69"/>
    <w:bookmarkStart w:id="71"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70">
        <w:r>
          <w:rPr>
            <w:rStyle w:val="Hyperlink"/>
          </w:rPr>
          <w:t xml:space="preserve">https://doi.org/10.1145/3617694.3623257</w:t>
        </w:r>
      </w:hyperlink>
      <w:r>
        <w:t xml:space="preserve">.</w:t>
      </w:r>
    </w:p>
    <w:bookmarkEnd w:id="71"/>
    <w:bookmarkStart w:id="73"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72">
        <w:r>
          <w:rPr>
            <w:rStyle w:val="Hyperlink"/>
          </w:rPr>
          <w:t xml:space="preserve">https://doi.org/10.1093/oso/9780192870421.001.0001</w:t>
        </w:r>
      </w:hyperlink>
      <w:r>
        <w:t xml:space="preserve">.</w:t>
      </w:r>
    </w:p>
    <w:bookmarkEnd w:id="73"/>
    <w:bookmarkStart w:id="74"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4"/>
    <w:bookmarkStart w:id="76"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5">
        <w:r>
          <w:rPr>
            <w:rStyle w:val="Hyperlink"/>
          </w:rPr>
          <w:t xml:space="preserve">https://doi.org/10.1093/oso/9780190867850.001.0001</w:t>
        </w:r>
      </w:hyperlink>
      <w:r>
        <w:t xml:space="preserve">.</w:t>
      </w:r>
    </w:p>
    <w:bookmarkEnd w:id="76"/>
    <w:bookmarkStart w:id="78"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7">
        <w:r>
          <w:rPr>
            <w:rStyle w:val="Hyperlink"/>
          </w:rPr>
          <w:t xml:space="preserve">https://doi.org/10.1017/S0140525X21002351</w:t>
        </w:r>
      </w:hyperlink>
      <w:r>
        <w:t xml:space="preserve">.</w:t>
      </w:r>
    </w:p>
    <w:bookmarkEnd w:id="78"/>
    <w:bookmarkStart w:id="80"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9">
        <w:r>
          <w:rPr>
            <w:rStyle w:val="Hyperlink"/>
          </w:rPr>
          <w:t xml:space="preserve">https://doi.org/10.1093/oso/9780198814719.001.0001</w:t>
        </w:r>
      </w:hyperlink>
      <w:r>
        <w:t xml:space="preserve">.</w:t>
      </w:r>
    </w:p>
    <w:bookmarkEnd w:id="80"/>
    <w:bookmarkStart w:id="82"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81">
        <w:r>
          <w:rPr>
            <w:rStyle w:val="Hyperlink"/>
          </w:rPr>
          <w:t xml:space="preserve">https://doi.org/10.2307/2024717</w:t>
        </w:r>
      </w:hyperlink>
      <w:r>
        <w:t xml:space="preserve">.</w:t>
      </w:r>
    </w:p>
    <w:bookmarkEnd w:id="82"/>
    <w:bookmarkStart w:id="84"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3">
        <w:r>
          <w:rPr>
            <w:rStyle w:val="Hyperlink"/>
          </w:rPr>
          <w:t xml:space="preserve">https://doi.org/10.1145/3306618.3314250</w:t>
        </w:r>
      </w:hyperlink>
      <w:r>
        <w:t xml:space="preserve">.</w:t>
      </w:r>
    </w:p>
    <w:bookmarkEnd w:id="84"/>
    <w:bookmarkStart w:id="86"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5">
        <w:r>
          <w:rPr>
            <w:rStyle w:val="Hyperlink"/>
          </w:rPr>
          <w:t xml:space="preserve">https://doi.org/10.1093/oso/9780198801856.003.0012</w:t>
        </w:r>
      </w:hyperlink>
      <w:r>
        <w:t xml:space="preserve">.</w:t>
      </w:r>
    </w:p>
    <w:bookmarkEnd w:id="86"/>
    <w:bookmarkStart w:id="8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87"/>
    <w:bookmarkStart w:id="8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8">
        <w:r>
          <w:rPr>
            <w:rStyle w:val="Hyperlink"/>
          </w:rPr>
          <w:t xml:space="preserve">https://doi.org/10.1007/s13347-023-00670-3</w:t>
        </w:r>
      </w:hyperlink>
      <w:r>
        <w:t xml:space="preserve">.</w:t>
      </w:r>
    </w:p>
    <w:bookmarkEnd w:id="89"/>
    <w:bookmarkStart w:id="91"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90">
        <w:r>
          <w:rPr>
            <w:rStyle w:val="Hyperlink"/>
          </w:rPr>
          <w:t xml:space="preserve">https://doi.org/10.2307/2960077</w:t>
        </w:r>
      </w:hyperlink>
      <w:r>
        <w:t xml:space="preserve">.</w:t>
      </w:r>
    </w:p>
    <w:bookmarkEnd w:id="91"/>
    <w:bookmarkStart w:id="93"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92">
        <w:r>
          <w:rPr>
            <w:rStyle w:val="Hyperlink"/>
          </w:rPr>
          <w:t xml:space="preserve">https://doi.org/10.1080/0020174X.2022.2062045</w:t>
        </w:r>
      </w:hyperlink>
      <w:r>
        <w:t xml:space="preserve">.</w:t>
      </w:r>
    </w:p>
    <w:bookmarkEnd w:id="93"/>
    <w:bookmarkStart w:id="94"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4"/>
    <w:bookmarkStart w:id="95"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5"/>
    <w:bookmarkStart w:id="97"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6">
        <w:r>
          <w:rPr>
            <w:rStyle w:val="Hyperlink"/>
          </w:rPr>
          <w:t xml:space="preserve">https://doi.org/10.1093/acprof:oso/9780199591565.001.0001</w:t>
        </w:r>
      </w:hyperlink>
      <w:r>
        <w:t xml:space="preserve">.</w:t>
      </w:r>
    </w:p>
    <w:bookmarkEnd w:id="97"/>
    <w:bookmarkStart w:id="98"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8"/>
    <w:bookmarkStart w:id="100"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9">
        <w:r>
          <w:rPr>
            <w:rStyle w:val="Hyperlink"/>
          </w:rPr>
          <w:t xml:space="preserve">https://doi.org/10.1080/02691728.2023.2172696</w:t>
        </w:r>
      </w:hyperlink>
      <w:r>
        <w:t xml:space="preserve">.</w:t>
      </w:r>
    </w:p>
    <w:bookmarkEnd w:id="100"/>
    <w:bookmarkStart w:id="102"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01">
        <w:r>
          <w:rPr>
            <w:rStyle w:val="Hyperlink"/>
          </w:rPr>
          <w:t xml:space="preserve">https://doi.org/10.1007/s10676-004-3422-1</w:t>
        </w:r>
      </w:hyperlink>
      <w:r>
        <w:t xml:space="preserve">.</w:t>
      </w:r>
    </w:p>
    <w:bookmarkEnd w:id="102"/>
    <w:bookmarkStart w:id="104"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03">
        <w:r>
          <w:rPr>
            <w:rStyle w:val="Hyperlink"/>
          </w:rPr>
          <w:t xml:space="preserve">https://doi.org/10.1080/0020174X.2021.1985149</w:t>
        </w:r>
      </w:hyperlink>
      <w:r>
        <w:t xml:space="preserve">.</w:t>
      </w:r>
    </w:p>
    <w:bookmarkEnd w:id="104"/>
    <w:bookmarkStart w:id="106"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5">
        <w:r>
          <w:rPr>
            <w:rStyle w:val="Hyperlink"/>
          </w:rPr>
          <w:t xml:space="preserve">https://doi.org/10.2307/2183914</w:t>
        </w:r>
      </w:hyperlink>
      <w:r>
        <w:t xml:space="preserve">.</w:t>
      </w:r>
    </w:p>
    <w:bookmarkEnd w:id="106"/>
    <w:bookmarkStart w:id="107"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07"/>
    <w:bookmarkStart w:id="109"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8">
        <w:r>
          <w:rPr>
            <w:rStyle w:val="Hyperlink"/>
          </w:rPr>
          <w:t xml:space="preserve">https://doi.org/10.1080/0020174X.2015.1080184</w:t>
        </w:r>
      </w:hyperlink>
      <w:r>
        <w:t xml:space="preserve">.</w:t>
      </w:r>
    </w:p>
    <w:bookmarkEnd w:id="109"/>
    <w:bookmarkStart w:id="110"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10"/>
    <w:bookmarkStart w:id="111"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11"/>
    <w:bookmarkStart w:id="113"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12">
        <w:r>
          <w:rPr>
            <w:rStyle w:val="Hyperlink"/>
          </w:rPr>
          <w:t xml:space="preserve">https://doi.org/10.1080/0020174X.2020.1805708</w:t>
        </w:r>
      </w:hyperlink>
      <w:r>
        <w:t xml:space="preserve">.</w:t>
      </w:r>
    </w:p>
    <w:bookmarkEnd w:id="113"/>
    <w:bookmarkStart w:id="114"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14"/>
    <w:bookmarkStart w:id="116"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5">
        <w:r>
          <w:rPr>
            <w:rStyle w:val="Hyperlink"/>
          </w:rPr>
          <w:t xml:space="preserve">https://scholarship.law.unc.edu/nclr/vol70/iss4/4/</w:t>
        </w:r>
      </w:hyperlink>
      <w:r>
        <w:t xml:space="preserve">.</w:t>
      </w:r>
    </w:p>
    <w:bookmarkEnd w:id="116"/>
    <w:bookmarkStart w:id="118"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7">
        <w:r>
          <w:rPr>
            <w:rStyle w:val="Hyperlink"/>
          </w:rPr>
          <w:t xml:space="preserve">https://doi.org/10.1007/s10676-026-09893-2</w:t>
        </w:r>
      </w:hyperlink>
      <w:r>
        <w:t xml:space="preserve">.</w:t>
      </w:r>
    </w:p>
    <w:bookmarkEnd w:id="118"/>
    <w:bookmarkStart w:id="120"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9">
        <w:r>
          <w:rPr>
            <w:rStyle w:val="Hyperlink"/>
          </w:rPr>
          <w:t xml:space="preserve">https://doi.org/10.1111/j.1468-5930.2007.00346.x</w:t>
        </w:r>
      </w:hyperlink>
      <w:r>
        <w:t xml:space="preserve">.</w:t>
      </w:r>
    </w:p>
    <w:bookmarkEnd w:id="120"/>
    <w:bookmarkStart w:id="122"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21">
        <w:r>
          <w:rPr>
            <w:rStyle w:val="Hyperlink"/>
          </w:rPr>
          <w:t xml:space="preserve">https://doi.org/10.1093/oso/9780198801856.003.0021</w:t>
        </w:r>
      </w:hyperlink>
      <w:r>
        <w:t xml:space="preserve">.</w:t>
      </w:r>
    </w:p>
    <w:bookmarkEnd w:id="122"/>
    <w:bookmarkStart w:id="124"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23">
        <w:r>
          <w:rPr>
            <w:rStyle w:val="Hyperlink"/>
          </w:rPr>
          <w:t xml:space="preserve">https://doi.org/10.1080/0020174X.2021.2000118</w:t>
        </w:r>
      </w:hyperlink>
      <w:r>
        <w:t xml:space="preserve">.</w:t>
      </w:r>
    </w:p>
    <w:bookmarkEnd w:id="124"/>
    <w:bookmarkStart w:id="12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25"/>
    <w:bookmarkEnd w:id="126"/>
    <w:bookmarkEnd w:id="127"/>
    <w:bookmarkStart w:id="135" w:name="statements-and-declarations"/>
    <w:p>
      <w:pPr>
        <w:pStyle w:val="Heading1"/>
      </w:pPr>
      <w:r>
        <w:t xml:space="preserve">Statements and declarations</w:t>
      </w:r>
    </w:p>
    <w:bookmarkStart w:id="128" w:name="keywords"/>
    <w:p>
      <w:pPr>
        <w:pStyle w:val="Heading2"/>
      </w:pPr>
      <w:r>
        <w:t xml:space="preserve">Keywords</w:t>
      </w:r>
    </w:p>
    <w:p>
      <w:pPr>
        <w:pStyle w:val="FirstParagraph"/>
      </w:pPr>
      <w:r>
        <w:t xml:space="preserve">‘AI agency’</w:t>
      </w:r>
      <w:r>
        <w:t xml:space="preserve">,</w:t>
      </w:r>
      <w:r>
        <w:t xml:space="preserve"> </w:t>
      </w:r>
      <w:r>
        <w:t xml:space="preserve">‘conceptual engineering’</w:t>
      </w:r>
      <w:r>
        <w:t xml:space="preserve">,</w:t>
      </w:r>
      <w:r>
        <w:t xml:space="preserve"> </w:t>
      </w:r>
      <w:r>
        <w:t xml:space="preserve">‘asymmetric comprehension’</w:t>
      </w:r>
      <w:r>
        <w:t xml:space="preserve">,</w:t>
      </w:r>
      <w:r>
        <w:t xml:space="preserve"> </w:t>
      </w:r>
      <w:r>
        <w:t xml:space="preserve">‘granted agency’</w:t>
      </w:r>
      <w:r>
        <w:t xml:space="preserve">,</w:t>
      </w:r>
      <w:r>
        <w:t xml:space="preserve"> </w:t>
      </w:r>
      <w:r>
        <w:t xml:space="preserve">‘philosophy of mind’</w:t>
      </w:r>
    </w:p>
    <w:bookmarkEnd w:id="128"/>
    <w:bookmarkStart w:id="129"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9"/>
    <w:bookmarkStart w:id="130" w:name="disclosure-statement"/>
    <w:p>
      <w:pPr>
        <w:pStyle w:val="Heading2"/>
      </w:pPr>
      <w:r>
        <w:t xml:space="preserve">Disclosure statement</w:t>
      </w:r>
    </w:p>
    <w:p>
      <w:pPr>
        <w:pStyle w:val="FirstParagraph"/>
      </w:pPr>
      <w:r>
        <w:t xml:space="preserve">The author reports there are no competing interests to declare.</w:t>
      </w:r>
    </w:p>
    <w:bookmarkEnd w:id="130"/>
    <w:bookmarkStart w:id="1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31"/>
    <w:bookmarkStart w:id="132" w:name="data-availability"/>
    <w:p>
      <w:pPr>
        <w:pStyle w:val="Heading2"/>
      </w:pPr>
      <w:r>
        <w:t xml:space="preserve">Data availability</w:t>
      </w:r>
    </w:p>
    <w:p>
      <w:pPr>
        <w:pStyle w:val="FirstParagraph"/>
      </w:pPr>
      <w:r>
        <w:t xml:space="preserve">No new data were generated or analysed in support of this research.</w:t>
      </w:r>
    </w:p>
    <w:bookmarkEnd w:id="132"/>
    <w:bookmarkStart w:id="133" w:name="orcid"/>
    <w:p>
      <w:pPr>
        <w:pStyle w:val="Heading2"/>
      </w:pPr>
      <w:r>
        <w:t xml:space="preserve">ORCID</w:t>
      </w:r>
    </w:p>
    <w:p>
      <w:pPr>
        <w:pStyle w:val="FirstParagraph"/>
      </w:pPr>
      <w:r>
        <w:t xml:space="preserve">ORCID: pending registration.</w:t>
      </w:r>
    </w:p>
    <w:bookmarkEnd w:id="133"/>
    <w:bookmarkStart w:id="134" w:name="corresponding-author"/>
    <w:p>
      <w:pPr>
        <w:pStyle w:val="Heading2"/>
      </w:pPr>
      <w:r>
        <w:t xml:space="preserve">Corresponding author</w:t>
      </w:r>
    </w:p>
    <w:p>
      <w:pPr>
        <w:pStyle w:val="FirstParagraph"/>
      </w:pPr>
      <w:r>
        <w:t xml:space="preserve">Joseph A. Wecker — joseph.wecker@v2.io</w:t>
      </w:r>
    </w:p>
    <w:bookmarkEnd w:id="134"/>
    <w:bookmarkEnd w:id="135"/>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(Wecker, in preparation). The sub-scope lattice below takes up the architectural mechanism (channel collapse) by which those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(Wecker,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1">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2">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(Wecker, in preparation). The structural argument does not depend on accepting this characterisation, though it is consistent with it.</w:t>
      </w:r>
    </w:p>
  </w:footnote>
  <w:footnote w:id="33">
    <w:p>
      <w:pPr>
        <w:pStyle w:val="FootnoteText"/>
      </w:pPr>
      <w:r>
        <w:rPr>
          <w:rStyle w:val="FootnoteReference"/>
        </w:rPr>
        <w:footnoteRef/>
      </w:r>
      <w:r>
        <w:t xml:space="preserve"> </w:t>
      </w:r>
      <w:r>
        <w:t xml:space="preserve">The formal account of identity sufficiency under substrate transition — what makes a substrate switch (e.g., changing the underlying LLM) continuity-orthogonal — is developed in (Wecker, in preparation).</w:t>
      </w:r>
    </w:p>
  </w:footnote>
  <w:footnote w:id="35">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(Wecker, in preparation).</w:t>
      </w:r>
    </w:p>
  </w:footnote>
  <w:footnote w:id="37">
    <w:p>
      <w:pPr>
        <w:pStyle w:val="FootnoteText"/>
      </w:pPr>
      <w:r>
        <w:rPr>
          <w:rStyle w:val="FootnoteReference"/>
        </w:rPr>
        <w:footnoteRef/>
      </w:r>
      <w:r>
        <w:t xml:space="preserve"> </w:t>
      </w:r>
      <w:r>
        <w:t xml:space="preserve">Primary development of the asymmetric-comprehension argument is in companion work (Wecker, in preparation); the articulation here is necessarily compressed.</w:t>
      </w:r>
    </w:p>
  </w:footnote>
  <w:footnote w:id="38">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7">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Joseph A. Wecker; Independent Researcher; joseph.wecker@v2.io</dc:creator>
  <dc:language>en-GB</dc:language>
  <cp:keywords>AI agency, conceptual engineering, asymmetric comprehension, granted agency, philosophy of mind</cp:keywords>
  <dcterms:created xsi:type="dcterms:W3CDTF">2026-05-11T01:32:02Z</dcterms:created>
  <dcterms:modified xsi:type="dcterms:W3CDTF">2026-05-11T01:32:02Z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 structurally-grounded extension. Two structural conditions — architectural scoping (a fact about how a system is built) and engaged-identity scoping (a fact about how a system holds together across time) — distinguish the systems for which the agency-extension question is genuinely open from those for which it is foreclosed. Within scope, agency takes the relational form of a granted-agency compact between sovereigns,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vt:lpwstr>
  </property>
  <property fmtid="{D5CDD505-2E9C-101B-9397-08002B2CF9AE}" pid="3" name="bibliography">
    <vt:lpwstr>/Users/josephwecker-v2/src/synthese-paper/03-inquiry-ai-agents/.build/inquiry-ai-agents-2026/inquiry-ai-agents-2026.references.bib</vt:lpwstr>
  </property>
  <property fmtid="{D5CDD505-2E9C-101B-9397-08002B2CF9AE}" pid="4" name="csl">
    <vt:lpwstr>/usr/local/texlive/2025/texmf-dist/tex/latex/citation-style-language/styles/chicago-author-date.csl</vt:lpwstr>
  </property>
  <property fmtid="{D5CDD505-2E9C-101B-9397-08002B2CF9AE}" pid="5" name="link-citations">
    <vt:lpwstr>True</vt:lpwstr>
  </property>
</Properties>
</file>